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3079"/>
        <w:gridCol w:w="1328"/>
        <w:gridCol w:w="1440"/>
        <w:gridCol w:w="1260"/>
        <w:gridCol w:w="4230"/>
        <w:gridCol w:w="1530"/>
        <w:gridCol w:w="4168"/>
      </w:tblGrid>
      <w:tr w:rsidR="00676F49" w:rsidRPr="00676F49" w14:paraId="2327F398" w14:textId="77777777" w:rsidTr="00410DE3">
        <w:trPr>
          <w:tblHeader/>
          <w:tblCellSpacing w:w="15" w:type="dxa"/>
        </w:trPr>
        <w:tc>
          <w:tcPr>
            <w:tcW w:w="3034"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0B9EF08A" w14:textId="77777777" w:rsidR="00676F49" w:rsidRPr="00676F49" w:rsidRDefault="00676F49" w:rsidP="00676F49">
            <w:pPr>
              <w:spacing w:after="15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Agency</w:t>
            </w:r>
          </w:p>
        </w:tc>
        <w:tc>
          <w:tcPr>
            <w:tcW w:w="1298"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6B7EA28A" w14:textId="77777777" w:rsidR="00676F49" w:rsidRPr="00676F49" w:rsidRDefault="00676F49" w:rsidP="00676F49">
            <w:pPr>
              <w:spacing w:after="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Case Open Date</w:t>
            </w:r>
          </w:p>
        </w:tc>
        <w:tc>
          <w:tcPr>
            <w:tcW w:w="1410"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742E821D" w14:textId="77777777" w:rsidR="00676F49" w:rsidRPr="00676F49" w:rsidRDefault="00676F49" w:rsidP="00676F49">
            <w:pPr>
              <w:spacing w:after="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Case Close Date</w:t>
            </w:r>
          </w:p>
        </w:tc>
        <w:tc>
          <w:tcPr>
            <w:tcW w:w="1230"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374287A6" w14:textId="77777777" w:rsidR="00676F49" w:rsidRPr="00676F49" w:rsidRDefault="00676F49" w:rsidP="00676F49">
            <w:pPr>
              <w:spacing w:after="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Case ID</w:t>
            </w:r>
          </w:p>
        </w:tc>
        <w:tc>
          <w:tcPr>
            <w:tcW w:w="4200"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0E5AC18D" w14:textId="77777777" w:rsidR="00676F49" w:rsidRPr="00676F49" w:rsidRDefault="00676F49" w:rsidP="00676F49">
            <w:pPr>
              <w:spacing w:after="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Records</w:t>
            </w:r>
          </w:p>
        </w:tc>
        <w:tc>
          <w:tcPr>
            <w:tcW w:w="1500" w:type="dxa"/>
            <w:tcBorders>
              <w:top w:val="nil"/>
              <w:left w:val="single" w:sz="2" w:space="0" w:color="DDDDDD"/>
              <w:bottom w:val="single" w:sz="12" w:space="0" w:color="DDDDDD"/>
              <w:right w:val="single" w:sz="6" w:space="0" w:color="DDDDDD"/>
            </w:tcBorders>
            <w:shd w:val="clear" w:color="auto" w:fill="3A4E74"/>
            <w:tcMar>
              <w:top w:w="120" w:type="dxa"/>
              <w:left w:w="120" w:type="dxa"/>
              <w:bottom w:w="120" w:type="dxa"/>
              <w:right w:w="450" w:type="dxa"/>
            </w:tcMar>
            <w:vAlign w:val="center"/>
            <w:hideMark/>
          </w:tcPr>
          <w:p w14:paraId="4ABFF452" w14:textId="77777777" w:rsidR="00676F49" w:rsidRPr="00676F49" w:rsidRDefault="00676F49" w:rsidP="00676F49">
            <w:pPr>
              <w:spacing w:after="0" w:line="276" w:lineRule="atLeast"/>
              <w:jc w:val="center"/>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Status</w:t>
            </w:r>
          </w:p>
        </w:tc>
        <w:tc>
          <w:tcPr>
            <w:tcW w:w="4123" w:type="dxa"/>
            <w:tcBorders>
              <w:top w:val="nil"/>
              <w:left w:val="single" w:sz="2" w:space="0" w:color="DDDDDD"/>
              <w:bottom w:val="single" w:sz="12" w:space="0" w:color="DDDDDD"/>
              <w:right w:val="single" w:sz="2" w:space="0" w:color="DDDDDD"/>
            </w:tcBorders>
            <w:shd w:val="clear" w:color="auto" w:fill="3A4E74"/>
            <w:tcMar>
              <w:top w:w="120" w:type="dxa"/>
              <w:left w:w="120" w:type="dxa"/>
              <w:bottom w:w="120" w:type="dxa"/>
              <w:right w:w="450" w:type="dxa"/>
            </w:tcMar>
            <w:vAlign w:val="center"/>
            <w:hideMark/>
          </w:tcPr>
          <w:p w14:paraId="410CCD2C"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Case Letters</w:t>
            </w:r>
          </w:p>
        </w:tc>
      </w:tr>
      <w:tr w:rsidR="00676F49" w:rsidRPr="00676F49" w14:paraId="7960CB4D"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4EB8C331"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Federal Trade Commission</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12518C0"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8/14/2023</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733517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10/27/2023</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6C85821"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UD-2023-0068</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EE9E265"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News outlet reports that the House Judiciary Committee Chairman asserted that the FTC deleted documents related to the agency's implementation of a new rule that would prohibit non-compete clauses for workers. </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6D9F38FF"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Unfounded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105A75AB"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4" w:history="1">
              <w:r w:rsidRPr="00676F49">
                <w:rPr>
                  <w:rFonts w:ascii="Source Sans Pro" w:eastAsia="Times New Roman" w:hAnsi="Source Sans Pro" w:cs="Times New Roman"/>
                  <w:color w:val="0071BC"/>
                  <w:kern w:val="0"/>
                  <w:sz w:val="24"/>
                  <w:szCs w:val="24"/>
                  <w:u w:val="single"/>
                  <w14:ligatures w14:val="none"/>
                </w:rPr>
                <w:t>UD-2023-0068 Open/Close</w:t>
              </w:r>
            </w:hyperlink>
          </w:p>
        </w:tc>
      </w:tr>
      <w:tr w:rsidR="00676F49" w:rsidRPr="00676F49" w14:paraId="10ACC208"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1164534B"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General Services Administration</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50DC23B6"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2/22/2017</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852D130"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5/18/2017</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C2FF0A3"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UD-2017-0019</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62F5AA8"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Allegations of 27 personal email accounts of 18F staff (GSA contractors) were used to send work-related emails without copying government accounts.</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1B5B6C7"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3331984E"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5" w:history="1">
              <w:r w:rsidRPr="00676F49">
                <w:rPr>
                  <w:rFonts w:ascii="Source Sans Pro" w:eastAsia="Times New Roman" w:hAnsi="Source Sans Pro" w:cs="Times New Roman"/>
                  <w:color w:val="0071BC"/>
                  <w:kern w:val="0"/>
                  <w:sz w:val="24"/>
                  <w:szCs w:val="24"/>
                  <w:u w:val="single"/>
                  <w14:ligatures w14:val="none"/>
                </w:rPr>
                <w:t>UD-2017-0019 Open/Close</w:t>
              </w:r>
            </w:hyperlink>
          </w:p>
        </w:tc>
      </w:tr>
      <w:tr w:rsidR="00676F49" w:rsidRPr="00676F49" w14:paraId="2B139946" w14:textId="77777777" w:rsidTr="00410DE3">
        <w:trPr>
          <w:tblCellSpacing w:w="15" w:type="dxa"/>
        </w:trPr>
        <w:tc>
          <w:tcPr>
            <w:tcW w:w="3034" w:type="dxa"/>
            <w:tcBorders>
              <w:top w:val="single" w:sz="6" w:space="0" w:color="DDDDDD"/>
              <w:left w:val="single" w:sz="2" w:space="0" w:color="DDDDDD"/>
              <w:bottom w:val="single" w:sz="6" w:space="0" w:color="DDDDDD"/>
              <w:right w:val="single" w:sz="6" w:space="0" w:color="DDDDDD"/>
            </w:tcBorders>
            <w:shd w:val="clear" w:color="auto" w:fill="3A4E74"/>
            <w:tcMar>
              <w:top w:w="120" w:type="dxa"/>
              <w:left w:w="120" w:type="dxa"/>
              <w:bottom w:w="120" w:type="dxa"/>
              <w:right w:w="120" w:type="dxa"/>
            </w:tcMar>
            <w:hideMark/>
          </w:tcPr>
          <w:p w14:paraId="4E9C6148"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National Aeronautics and Space Administration</w:t>
            </w:r>
          </w:p>
        </w:tc>
        <w:tc>
          <w:tcPr>
            <w:tcW w:w="1298"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CDFB8"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7/21/2017</w:t>
            </w:r>
          </w:p>
        </w:tc>
        <w:tc>
          <w:tcPr>
            <w:tcW w:w="141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2F8A83"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10/5/2017</w:t>
            </w:r>
          </w:p>
        </w:tc>
        <w:tc>
          <w:tcPr>
            <w:tcW w:w="12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E16FF3"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UD-2017-0026</w:t>
            </w:r>
          </w:p>
        </w:tc>
        <w:tc>
          <w:tcPr>
            <w:tcW w:w="42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90852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300 magnetic data  tape reels for NASA Goddard Space Flight Center dating from 1969-1972, along with two large computers bearing NASA GSFC markings.</w:t>
            </w:r>
          </w:p>
        </w:tc>
        <w:tc>
          <w:tcPr>
            <w:tcW w:w="15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5058FF"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Founded</w:t>
            </w:r>
          </w:p>
        </w:tc>
        <w:tc>
          <w:tcPr>
            <w:tcW w:w="4123" w:type="dxa"/>
            <w:tcBorders>
              <w:top w:val="single" w:sz="6" w:space="0" w:color="DDDDDD"/>
              <w:left w:val="single" w:sz="2" w:space="0" w:color="DDDDDD"/>
              <w:bottom w:val="single" w:sz="6" w:space="0" w:color="DDDDDD"/>
              <w:right w:val="single" w:sz="2" w:space="0" w:color="DDDDDD"/>
            </w:tcBorders>
            <w:shd w:val="clear" w:color="auto" w:fill="FFFFFF"/>
            <w:tcMar>
              <w:top w:w="120" w:type="dxa"/>
              <w:left w:w="120" w:type="dxa"/>
              <w:bottom w:w="120" w:type="dxa"/>
              <w:right w:w="120" w:type="dxa"/>
            </w:tcMar>
            <w:hideMark/>
          </w:tcPr>
          <w:p w14:paraId="5972FAFD"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6" w:history="1">
              <w:r w:rsidRPr="00676F49">
                <w:rPr>
                  <w:rFonts w:ascii="Source Sans Pro" w:eastAsia="Times New Roman" w:hAnsi="Source Sans Pro" w:cs="Times New Roman"/>
                  <w:color w:val="0071BC"/>
                  <w:kern w:val="0"/>
                  <w:sz w:val="24"/>
                  <w:szCs w:val="24"/>
                  <w:u w:val="single"/>
                  <w14:ligatures w14:val="none"/>
                </w:rPr>
                <w:t>UD-2017-0026 Open/Close</w:t>
              </w:r>
            </w:hyperlink>
          </w:p>
        </w:tc>
      </w:tr>
      <w:tr w:rsidR="00676F49" w:rsidRPr="00676F49" w14:paraId="12F7FEFB"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29EBD258"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National Aeronautics and Space Administration</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56F1517C"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3/20/2020</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2CFE1E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 </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C195ACA"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UD-2020-0032</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3BCE05B" w14:textId="77777777" w:rsidR="00676F49" w:rsidRPr="00676F49" w:rsidRDefault="00676F49" w:rsidP="00676F49">
            <w:pPr>
              <w:spacing w:after="15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Deletion of emails of departed employees 30 days after their departure</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FF8064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Pending review/follow-up</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5914EDEA"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7" w:history="1">
              <w:r w:rsidRPr="00676F49">
                <w:rPr>
                  <w:rFonts w:ascii="Source Sans Pro" w:eastAsia="Times New Roman" w:hAnsi="Source Sans Pro" w:cs="Times New Roman"/>
                  <w:color w:val="0071BC"/>
                  <w:kern w:val="0"/>
                  <w:sz w:val="24"/>
                  <w:szCs w:val="24"/>
                  <w:u w:val="single"/>
                  <w14:ligatures w14:val="none"/>
                </w:rPr>
                <w:t>UD-2020-0032 Open</w:t>
              </w:r>
            </w:hyperlink>
          </w:p>
        </w:tc>
      </w:tr>
      <w:tr w:rsidR="00676F49" w:rsidRPr="00676F49" w14:paraId="05528081"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4EFD95E9"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National Archives and Records Administration</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16CE45B"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8/31/2023</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98179A8"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8/31/2023</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72512F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UD-2023-0093</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6454C3ED"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Handwritten registers tracking information about appraisal dossiers, which were created upon receipt of SF-115 Records Dispositions Requests from FY1981 and FY1982 cannot be found and may be destroyed.</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2ED383C"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0193272C"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8" w:history="1">
              <w:r w:rsidRPr="00676F49">
                <w:rPr>
                  <w:rFonts w:ascii="Source Sans Pro" w:eastAsia="Times New Roman" w:hAnsi="Source Sans Pro" w:cs="Times New Roman"/>
                  <w:color w:val="0071BC"/>
                  <w:kern w:val="0"/>
                  <w:sz w:val="24"/>
                  <w:szCs w:val="24"/>
                  <w:u w:val="single"/>
                  <w14:ligatures w14:val="none"/>
                </w:rPr>
                <w:t>UD-2023-0093 Open/Close</w:t>
              </w:r>
            </w:hyperlink>
          </w:p>
        </w:tc>
      </w:tr>
      <w:tr w:rsidR="00676F49" w:rsidRPr="00676F49" w14:paraId="6060FE26"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49188D36"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lastRenderedPageBreak/>
              <w:t>National Council on Disability</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4DEE265E"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9/11/2019</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4442C541"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12/3/2019</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50963809"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UD-2019-0050</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DF0A0EA"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A member of the public is alleging that the agency is deleting emails without reading them.</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359FD37"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Unfounded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2E53D00B"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9" w:history="1">
              <w:r w:rsidRPr="00676F49">
                <w:rPr>
                  <w:rFonts w:ascii="Source Sans Pro" w:eastAsia="Times New Roman" w:hAnsi="Source Sans Pro" w:cs="Times New Roman"/>
                  <w:color w:val="0071BC"/>
                  <w:kern w:val="0"/>
                  <w:sz w:val="24"/>
                  <w:szCs w:val="24"/>
                  <w:u w:val="single"/>
                  <w14:ligatures w14:val="none"/>
                </w:rPr>
                <w:t>UD-2019-0050 Open/Close</w:t>
              </w:r>
            </w:hyperlink>
          </w:p>
        </w:tc>
      </w:tr>
      <w:tr w:rsidR="00676F49" w:rsidRPr="00676F49" w14:paraId="695353E6"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0402F4F0"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National Credit Union Administration</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07B5BB4"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11/20/2015</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1779CAEE"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11/22/2016</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366ACB54"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UD-2016-0002</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3A0723B4"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Email record server deleted in the absence of an agency email management recordkeeping practice, such as print-and-file, or a NARA-approved disposition authority.</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3EF18BCE"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538D2864"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10" w:history="1">
              <w:r w:rsidRPr="00676F49">
                <w:rPr>
                  <w:rFonts w:ascii="Source Sans Pro" w:eastAsia="Times New Roman" w:hAnsi="Source Sans Pro" w:cs="Times New Roman"/>
                  <w:color w:val="0071BC"/>
                  <w:kern w:val="0"/>
                  <w:sz w:val="24"/>
                  <w:szCs w:val="24"/>
                  <w:u w:val="single"/>
                  <w14:ligatures w14:val="none"/>
                </w:rPr>
                <w:t>UD-2016-0002 Open/Close</w:t>
              </w:r>
            </w:hyperlink>
          </w:p>
        </w:tc>
      </w:tr>
      <w:tr w:rsidR="00676F49" w:rsidRPr="00676F49" w14:paraId="596FB50E"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3CC69B03"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Office of Special Counsel</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A35909E"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3/5/2018</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63F9BEA9"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8/15/2018</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F143B3F"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UD-2018-0008</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4631E8A1" w14:textId="77777777" w:rsidR="00676F49" w:rsidRPr="00676F49" w:rsidRDefault="00676F49" w:rsidP="00676F49">
            <w:pPr>
              <w:spacing w:after="15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The potential unauthorized deletion of electronic files maintained in an electronic folder of an official in the Human Capital Office as well as the removal of boxes of unknown content by an employee. </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3B6555D"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04F58158"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11" w:history="1">
              <w:r w:rsidRPr="00676F49">
                <w:rPr>
                  <w:rFonts w:ascii="Source Sans Pro" w:eastAsia="Times New Roman" w:hAnsi="Source Sans Pro" w:cs="Times New Roman"/>
                  <w:color w:val="0071BC"/>
                  <w:kern w:val="0"/>
                  <w:sz w:val="24"/>
                  <w:szCs w:val="24"/>
                  <w:u w:val="single"/>
                  <w14:ligatures w14:val="none"/>
                </w:rPr>
                <w:t>UD-2018-0008 Open/Close</w:t>
              </w:r>
            </w:hyperlink>
          </w:p>
        </w:tc>
      </w:tr>
      <w:tr w:rsidR="00676F49" w:rsidRPr="00676F49" w14:paraId="362F6ACC"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2D81BABF"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Office of Special Counsel</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64E5F100"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5/4/2023</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645B6F01"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6/6/2023</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22BE69AF"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UD-2023-0051</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DE91CC3"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A member of the public alleges that the Office of Special Council (OSC) stated that OSC destroyed records responsive to their Expedited FOIA Request</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3015BE6"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Unfounded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162F7886"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12" w:history="1">
              <w:r w:rsidRPr="00676F49">
                <w:rPr>
                  <w:rFonts w:ascii="Source Sans Pro" w:eastAsia="Times New Roman" w:hAnsi="Source Sans Pro" w:cs="Times New Roman"/>
                  <w:color w:val="0071BC"/>
                  <w:kern w:val="0"/>
                  <w:sz w:val="24"/>
                  <w:szCs w:val="24"/>
                  <w:u w:val="single"/>
                  <w14:ligatures w14:val="none"/>
                </w:rPr>
                <w:t>UD-2023-0051 Open/Close</w:t>
              </w:r>
            </w:hyperlink>
          </w:p>
        </w:tc>
      </w:tr>
      <w:tr w:rsidR="00676F49" w:rsidRPr="00676F49" w14:paraId="446A54BE" w14:textId="77777777" w:rsidTr="00410DE3">
        <w:trPr>
          <w:tblCellSpacing w:w="15" w:type="dxa"/>
        </w:trPr>
        <w:tc>
          <w:tcPr>
            <w:tcW w:w="3034" w:type="dxa"/>
            <w:tcBorders>
              <w:top w:val="single" w:sz="6" w:space="0" w:color="DDDDDD"/>
              <w:left w:val="single" w:sz="2" w:space="0" w:color="DDDDDD"/>
              <w:bottom w:val="single" w:sz="2" w:space="0" w:color="DDDDDD"/>
              <w:right w:val="single" w:sz="6" w:space="0" w:color="DDDDDD"/>
            </w:tcBorders>
            <w:shd w:val="clear" w:color="auto" w:fill="3A4E74"/>
            <w:tcMar>
              <w:top w:w="120" w:type="dxa"/>
              <w:left w:w="120" w:type="dxa"/>
              <w:bottom w:w="120" w:type="dxa"/>
              <w:right w:w="120" w:type="dxa"/>
            </w:tcMar>
            <w:hideMark/>
          </w:tcPr>
          <w:p w14:paraId="5420DDD7" w14:textId="77777777" w:rsidR="00676F49" w:rsidRPr="00676F49" w:rsidRDefault="00676F49" w:rsidP="00676F49">
            <w:pPr>
              <w:spacing w:after="0" w:line="276" w:lineRule="atLeast"/>
              <w:rPr>
                <w:rFonts w:ascii="Source Sans Pro" w:eastAsia="Times New Roman" w:hAnsi="Source Sans Pro" w:cs="Times New Roman"/>
                <w:b/>
                <w:bCs/>
                <w:color w:val="FFFFFF" w:themeColor="background1"/>
                <w:kern w:val="0"/>
                <w:sz w:val="24"/>
                <w:szCs w:val="24"/>
                <w14:ligatures w14:val="none"/>
              </w:rPr>
            </w:pPr>
            <w:r w:rsidRPr="00676F49">
              <w:rPr>
                <w:rFonts w:ascii="Source Sans Pro" w:eastAsia="Times New Roman" w:hAnsi="Source Sans Pro" w:cs="Times New Roman"/>
                <w:b/>
                <w:bCs/>
                <w:color w:val="FFFFFF" w:themeColor="background1"/>
                <w:kern w:val="0"/>
                <w:sz w:val="24"/>
                <w:szCs w:val="24"/>
                <w14:ligatures w14:val="none"/>
              </w:rPr>
              <w:t>Peace Corps</w:t>
            </w:r>
          </w:p>
        </w:tc>
        <w:tc>
          <w:tcPr>
            <w:tcW w:w="1298"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BEB50C2"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1/6/2017</w:t>
            </w:r>
          </w:p>
        </w:tc>
        <w:tc>
          <w:tcPr>
            <w:tcW w:w="141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5D85D92C"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3/15/2018</w:t>
            </w:r>
          </w:p>
        </w:tc>
        <w:tc>
          <w:tcPr>
            <w:tcW w:w="123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2E95DC0"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UD-2017-0011</w:t>
            </w:r>
          </w:p>
        </w:tc>
        <w:tc>
          <w:tcPr>
            <w:tcW w:w="42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7DBE76BF"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 xml:space="preserve">Peace Corps Capstone approach implemented a system that performed routine 90-day destruction of emails </w:t>
            </w:r>
            <w:proofErr w:type="gramStart"/>
            <w:r w:rsidRPr="00676F49">
              <w:rPr>
                <w:rFonts w:ascii="Source Sans Pro" w:eastAsia="Times New Roman" w:hAnsi="Source Sans Pro" w:cs="Times New Roman"/>
                <w:color w:val="555555"/>
                <w:kern w:val="0"/>
                <w:sz w:val="24"/>
                <w:szCs w:val="24"/>
                <w14:ligatures w14:val="none"/>
              </w:rPr>
              <w:t>after</w:t>
            </w:r>
            <w:proofErr w:type="gramEnd"/>
            <w:r w:rsidRPr="00676F49">
              <w:rPr>
                <w:rFonts w:ascii="Source Sans Pro" w:eastAsia="Times New Roman" w:hAnsi="Source Sans Pro" w:cs="Times New Roman"/>
                <w:color w:val="555555"/>
                <w:kern w:val="0"/>
                <w:sz w:val="24"/>
                <w:szCs w:val="24"/>
                <w14:ligatures w14:val="none"/>
              </w:rPr>
              <w:t xml:space="preserve"> and employee leaves the Peace Corps.</w:t>
            </w:r>
          </w:p>
        </w:tc>
        <w:tc>
          <w:tcPr>
            <w:tcW w:w="1500"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14:paraId="0EDE8217"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r w:rsidRPr="00676F49">
              <w:rPr>
                <w:rFonts w:ascii="Source Sans Pro" w:eastAsia="Times New Roman" w:hAnsi="Source Sans Pro" w:cs="Times New Roman"/>
                <w:color w:val="555555"/>
                <w:kern w:val="0"/>
                <w:sz w:val="24"/>
                <w:szCs w:val="24"/>
                <w14:ligatures w14:val="none"/>
              </w:rPr>
              <w:t>Unfounded</w:t>
            </w:r>
          </w:p>
        </w:tc>
        <w:tc>
          <w:tcPr>
            <w:tcW w:w="4123"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14:paraId="093153D9" w14:textId="77777777" w:rsidR="00676F49" w:rsidRPr="00676F49" w:rsidRDefault="00676F49" w:rsidP="00676F49">
            <w:pPr>
              <w:spacing w:after="0" w:line="276" w:lineRule="atLeast"/>
              <w:rPr>
                <w:rFonts w:ascii="Source Sans Pro" w:eastAsia="Times New Roman" w:hAnsi="Source Sans Pro" w:cs="Times New Roman"/>
                <w:color w:val="555555"/>
                <w:kern w:val="0"/>
                <w:sz w:val="24"/>
                <w:szCs w:val="24"/>
                <w14:ligatures w14:val="none"/>
              </w:rPr>
            </w:pPr>
            <w:hyperlink r:id="rId13" w:history="1">
              <w:r w:rsidRPr="00676F49">
                <w:rPr>
                  <w:rFonts w:ascii="Source Sans Pro" w:eastAsia="Times New Roman" w:hAnsi="Source Sans Pro" w:cs="Times New Roman"/>
                  <w:color w:val="0071BC"/>
                  <w:kern w:val="0"/>
                  <w:sz w:val="24"/>
                  <w:szCs w:val="24"/>
                  <w:u w:val="single"/>
                  <w14:ligatures w14:val="none"/>
                </w:rPr>
                <w:t>UD-2017-0011 Open/Close</w:t>
              </w:r>
            </w:hyperlink>
          </w:p>
        </w:tc>
      </w:tr>
    </w:tbl>
    <w:p w14:paraId="054E45AA" w14:textId="77777777" w:rsidR="00690A79" w:rsidRDefault="00690A79"/>
    <w:sectPr w:rsidR="00690A79" w:rsidSect="00676F49">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49"/>
    <w:rsid w:val="00073FEA"/>
    <w:rsid w:val="000F72F8"/>
    <w:rsid w:val="00410DE3"/>
    <w:rsid w:val="004A3CDF"/>
    <w:rsid w:val="00676F49"/>
    <w:rsid w:val="00690A79"/>
    <w:rsid w:val="0072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17CA"/>
  <w15:chartTrackingRefBased/>
  <w15:docId w15:val="{D5FC0D54-DE56-4E0D-BD9F-A2094104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Pt">
    <w:name w:val="Heading 1 PPt"/>
    <w:basedOn w:val="Heading1"/>
    <w:link w:val="Heading1PPtChar"/>
    <w:autoRedefine/>
    <w:qFormat/>
    <w:rsid w:val="000F72F8"/>
    <w:pPr>
      <w:widowControl w:val="0"/>
      <w:pBdr>
        <w:bottom w:val="double" w:sz="6" w:space="1" w:color="auto"/>
      </w:pBdr>
      <w:tabs>
        <w:tab w:val="left" w:pos="6792"/>
      </w:tabs>
      <w:autoSpaceDE w:val="0"/>
      <w:autoSpaceDN w:val="0"/>
      <w:spacing w:before="0" w:line="240" w:lineRule="auto"/>
      <w:jc w:val="center"/>
    </w:pPr>
    <w:rPr>
      <w:rFonts w:ascii="Arial" w:eastAsia="Arial" w:hAnsi="Arial" w:cs="Arial"/>
      <w:b/>
      <w:color w:val="001F5F"/>
      <w:kern w:val="0"/>
      <w:sz w:val="40"/>
      <w:szCs w:val="40"/>
      <w14:ligatures w14:val="none"/>
    </w:rPr>
  </w:style>
  <w:style w:type="character" w:customStyle="1" w:styleId="Heading1PPtChar">
    <w:name w:val="Heading 1 PPt Char"/>
    <w:basedOn w:val="Heading1Char"/>
    <w:link w:val="Heading1PPt"/>
    <w:rsid w:val="000F72F8"/>
    <w:rPr>
      <w:rFonts w:ascii="Arial" w:eastAsia="Arial" w:hAnsi="Arial" w:cs="Arial"/>
      <w:b/>
      <w:color w:val="001F5F"/>
      <w:kern w:val="0"/>
      <w:sz w:val="40"/>
      <w:szCs w:val="40"/>
      <w14:ligatures w14:val="none"/>
    </w:rPr>
  </w:style>
  <w:style w:type="character" w:customStyle="1" w:styleId="Heading1Char">
    <w:name w:val="Heading 1 Char"/>
    <w:basedOn w:val="DefaultParagraphFont"/>
    <w:link w:val="Heading1"/>
    <w:uiPriority w:val="9"/>
    <w:rsid w:val="00073FEA"/>
    <w:rPr>
      <w:rFonts w:asciiTheme="majorHAnsi" w:eastAsiaTheme="majorEastAsia" w:hAnsiTheme="majorHAnsi" w:cstheme="majorBidi"/>
      <w:color w:val="2F5496" w:themeColor="accent1" w:themeShade="BF"/>
      <w:sz w:val="32"/>
      <w:szCs w:val="32"/>
    </w:rPr>
  </w:style>
  <w:style w:type="paragraph" w:customStyle="1" w:styleId="Heading1WordArt">
    <w:name w:val="Heading 1 Word Art"/>
    <w:basedOn w:val="Normal"/>
    <w:link w:val="Heading1WordArtChar"/>
    <w:qFormat/>
    <w:rsid w:val="000F72F8"/>
    <w:pPr>
      <w:jc w:val="center"/>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Heading1WordArtChar">
    <w:name w:val="Heading 1 Word Art Char"/>
    <w:basedOn w:val="DefaultParagraphFont"/>
    <w:link w:val="Heading1WordArt"/>
    <w:rsid w:val="000F72F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NormalWeb">
    <w:name w:val="Normal (Web)"/>
    <w:basedOn w:val="Normal"/>
    <w:uiPriority w:val="99"/>
    <w:semiHidden/>
    <w:unhideWhenUsed/>
    <w:rsid w:val="00676F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76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iles/records-mgmt/resources/ud-2023-0093-nara-openclose.pdf" TargetMode="External"/><Relationship Id="rId13" Type="http://schemas.openxmlformats.org/officeDocument/2006/relationships/hyperlink" Target="https://www.archives.gov/files/records-mgmt/resources/ud-2017-0011-peace-corps-open-close-letters.pdf" TargetMode="External"/><Relationship Id="rId3" Type="http://schemas.openxmlformats.org/officeDocument/2006/relationships/webSettings" Target="webSettings.xml"/><Relationship Id="rId7" Type="http://schemas.openxmlformats.org/officeDocument/2006/relationships/hyperlink" Target="https://www.archives.gov/files/records-mgmt/resources/ud-2020-0032-nasa-open-letter.pdf" TargetMode="External"/><Relationship Id="rId12" Type="http://schemas.openxmlformats.org/officeDocument/2006/relationships/hyperlink" Target="https://www.archives.gov/files/records-mgmt/resources/ud-2023-0051-osc-open-clo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ives.gov/files/records-mgmt/resources/ud-2017-0026-nasa-open-close-letters.pdf" TargetMode="External"/><Relationship Id="rId11" Type="http://schemas.openxmlformats.org/officeDocument/2006/relationships/hyperlink" Target="https://www.archives.gov/files/records-mgmt/resources/ud-2018-0008-osc-open-close-letters.pdf" TargetMode="External"/><Relationship Id="rId5" Type="http://schemas.openxmlformats.org/officeDocument/2006/relationships/hyperlink" Target="https://www.archives.gov/files/records-mgmt/resources/ud-2017-0019-gsa-open-close-letters.pdf" TargetMode="External"/><Relationship Id="rId15" Type="http://schemas.openxmlformats.org/officeDocument/2006/relationships/theme" Target="theme/theme1.xml"/><Relationship Id="rId10" Type="http://schemas.openxmlformats.org/officeDocument/2006/relationships/hyperlink" Target="https://www.archives.gov/files/records-mgmt/resources/ud-2016-0002-ncua-open-close-letters.pdf" TargetMode="External"/><Relationship Id="rId4" Type="http://schemas.openxmlformats.org/officeDocument/2006/relationships/hyperlink" Target="https://www.archives.gov/files/records-mgmt/resources/ud-2023-0068-ftc-openclose.pdf" TargetMode="External"/><Relationship Id="rId9" Type="http://schemas.openxmlformats.org/officeDocument/2006/relationships/hyperlink" Target="https://www.archives.gov/files/records-mgmt/resources/ud-2019-0050-ncd-open-close-lett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BOB HAMMOND</cp:lastModifiedBy>
  <cp:revision>2</cp:revision>
  <dcterms:created xsi:type="dcterms:W3CDTF">2023-12-06T19:29:00Z</dcterms:created>
  <dcterms:modified xsi:type="dcterms:W3CDTF">2023-12-06T19:29:00Z</dcterms:modified>
</cp:coreProperties>
</file>