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25A7" w14:textId="77777777" w:rsidR="00CD7E23" w:rsidRDefault="00CD7E23">
      <w:pPr>
        <w:rPr>
          <w:rFonts w:ascii="Arial" w:hAnsi="Arial" w:cs="Arial"/>
          <w:sz w:val="21"/>
          <w:szCs w:val="21"/>
          <w:u w:val="single"/>
        </w:rPr>
      </w:pPr>
    </w:p>
    <w:p w14:paraId="517A4298" w14:textId="77777777" w:rsidR="00CD7E23" w:rsidRDefault="00CD7E23">
      <w:pPr>
        <w:rPr>
          <w:rFonts w:ascii="Arial" w:hAnsi="Arial" w:cs="Arial"/>
          <w:sz w:val="21"/>
          <w:szCs w:val="21"/>
        </w:rPr>
      </w:pPr>
    </w:p>
    <w:tbl>
      <w:tblPr>
        <w:tblW w:w="9828" w:type="dxa"/>
        <w:tblInd w:w="-162" w:type="dxa"/>
        <w:tblCellMar>
          <w:left w:w="10" w:type="dxa"/>
          <w:right w:w="10" w:type="dxa"/>
        </w:tblCellMar>
        <w:tblLook w:val="04A0" w:firstRow="1" w:lastRow="0" w:firstColumn="1" w:lastColumn="0" w:noHBand="0" w:noVBand="1"/>
      </w:tblPr>
      <w:tblGrid>
        <w:gridCol w:w="3330"/>
        <w:gridCol w:w="6498"/>
      </w:tblGrid>
      <w:tr w:rsidR="00CD7E23" w14:paraId="5634BD66" w14:textId="77777777">
        <w:trPr>
          <w:trHeight w:val="1190"/>
        </w:trPr>
        <w:tc>
          <w:tcPr>
            <w:tcW w:w="3330" w:type="dxa"/>
            <w:shd w:val="clear" w:color="auto" w:fill="auto"/>
            <w:tcMar>
              <w:top w:w="0" w:type="dxa"/>
              <w:left w:w="108" w:type="dxa"/>
              <w:bottom w:w="0" w:type="dxa"/>
              <w:right w:w="108" w:type="dxa"/>
            </w:tcMar>
          </w:tcPr>
          <w:p w14:paraId="5A59B3A2" w14:textId="77777777" w:rsidR="00CD7E23" w:rsidRDefault="0081355B">
            <w:pPr>
              <w:ind w:left="-180" w:hanging="90"/>
              <w:jc w:val="right"/>
            </w:pPr>
            <w:r>
              <w:rPr>
                <w:noProof/>
              </w:rPr>
              <w:drawing>
                <wp:inline distT="0" distB="0" distL="0" distR="0" wp14:anchorId="5078532D" wp14:editId="331BCB7A">
                  <wp:extent cx="2112520" cy="962369"/>
                  <wp:effectExtent l="0" t="0" r="0" b="9181"/>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112520" cy="962369"/>
                          </a:xfrm>
                          <a:prstGeom prst="rect">
                            <a:avLst/>
                          </a:prstGeom>
                          <a:noFill/>
                          <a:ln>
                            <a:noFill/>
                            <a:prstDash/>
                          </a:ln>
                        </pic:spPr>
                      </pic:pic>
                    </a:graphicData>
                  </a:graphic>
                </wp:inline>
              </w:drawing>
            </w:r>
          </w:p>
        </w:tc>
        <w:tc>
          <w:tcPr>
            <w:tcW w:w="6498" w:type="dxa"/>
            <w:shd w:val="clear" w:color="auto" w:fill="595959"/>
            <w:tcMar>
              <w:top w:w="0" w:type="dxa"/>
              <w:left w:w="108" w:type="dxa"/>
              <w:bottom w:w="0" w:type="dxa"/>
              <w:right w:w="108" w:type="dxa"/>
            </w:tcMar>
            <w:vAlign w:val="center"/>
          </w:tcPr>
          <w:p w14:paraId="3E4D35B4" w14:textId="77777777" w:rsidR="00CD7E23" w:rsidRDefault="0081355B">
            <w:pPr>
              <w:spacing w:after="60"/>
              <w:jc w:val="center"/>
              <w:rPr>
                <w:b/>
                <w:color w:val="FFFFFF"/>
              </w:rPr>
            </w:pPr>
            <w:r>
              <w:rPr>
                <w:b/>
                <w:color w:val="FFFFFF"/>
              </w:rPr>
              <w:t>PRINCE GEORGE’S COUNTY HEALTH DEPARTMENT</w:t>
            </w:r>
          </w:p>
          <w:p w14:paraId="33120ACA" w14:textId="77777777" w:rsidR="00CD7E23" w:rsidRDefault="0081355B">
            <w:pPr>
              <w:tabs>
                <w:tab w:val="left" w:pos="882"/>
              </w:tabs>
              <w:jc w:val="center"/>
            </w:pPr>
            <w:r>
              <w:rPr>
                <w:b/>
                <w:color w:val="FFFFFF"/>
              </w:rPr>
              <w:t xml:space="preserve"> OFFICE OF COMMUNICATION</w:t>
            </w:r>
          </w:p>
        </w:tc>
      </w:tr>
      <w:tr w:rsidR="00CD7E23" w14:paraId="3D7305EE" w14:textId="77777777">
        <w:tc>
          <w:tcPr>
            <w:tcW w:w="3330" w:type="dxa"/>
            <w:tcBorders>
              <w:bottom w:val="double" w:sz="12" w:space="0" w:color="000000"/>
            </w:tcBorders>
            <w:shd w:val="clear" w:color="auto" w:fill="auto"/>
            <w:tcMar>
              <w:top w:w="0" w:type="dxa"/>
              <w:left w:w="108" w:type="dxa"/>
              <w:bottom w:w="0" w:type="dxa"/>
              <w:right w:w="108" w:type="dxa"/>
            </w:tcMar>
            <w:vAlign w:val="bottom"/>
          </w:tcPr>
          <w:p w14:paraId="4052DFFA" w14:textId="77777777" w:rsidR="00CD7E23" w:rsidRDefault="00CD7E23">
            <w:pPr>
              <w:rPr>
                <w:rFonts w:ascii="Calibri" w:hAnsi="Calibri" w:cs="Calibri"/>
                <w:b/>
                <w:sz w:val="18"/>
                <w:szCs w:val="16"/>
              </w:rPr>
            </w:pPr>
          </w:p>
          <w:p w14:paraId="46673F34" w14:textId="77777777" w:rsidR="00CD7E23" w:rsidRDefault="0081355B">
            <w:pPr>
              <w:widowControl w:val="0"/>
              <w:tabs>
                <w:tab w:val="left" w:pos="1333"/>
              </w:tabs>
              <w:autoSpaceDE w:val="0"/>
              <w:spacing w:before="54"/>
              <w:jc w:val="both"/>
            </w:pPr>
            <w:r>
              <w:rPr>
                <w:rFonts w:eastAsia="Garamond"/>
                <w:b/>
                <w:bCs/>
                <w:color w:val="4B4B4B"/>
                <w:sz w:val="18"/>
                <w:szCs w:val="18"/>
                <w:shd w:val="clear" w:color="auto" w:fill="FFFFFF"/>
              </w:rPr>
              <w:t>Dr. Ernest L. Carter</w:t>
            </w:r>
            <w:r>
              <w:rPr>
                <w:rFonts w:eastAsia="Garamond"/>
                <w:b/>
                <w:bCs/>
                <w:sz w:val="18"/>
                <w:szCs w:val="18"/>
              </w:rPr>
              <w:t>,</w:t>
            </w:r>
            <w:r>
              <w:rPr>
                <w:rFonts w:eastAsia="Garamond"/>
                <w:b/>
                <w:bCs/>
                <w:spacing w:val="-3"/>
                <w:sz w:val="18"/>
                <w:szCs w:val="18"/>
              </w:rPr>
              <w:t xml:space="preserve"> </w:t>
            </w:r>
            <w:r>
              <w:rPr>
                <w:rFonts w:eastAsia="Garamond"/>
                <w:b/>
                <w:bCs/>
                <w:sz w:val="18"/>
                <w:szCs w:val="18"/>
              </w:rPr>
              <w:t>Health</w:t>
            </w:r>
            <w:r>
              <w:rPr>
                <w:rFonts w:eastAsia="Garamond"/>
                <w:b/>
                <w:bCs/>
                <w:spacing w:val="-3"/>
                <w:sz w:val="18"/>
                <w:szCs w:val="18"/>
              </w:rPr>
              <w:t xml:space="preserve"> </w:t>
            </w:r>
            <w:r>
              <w:rPr>
                <w:rFonts w:eastAsia="Garamond"/>
                <w:b/>
                <w:bCs/>
                <w:spacing w:val="-2"/>
                <w:sz w:val="18"/>
                <w:szCs w:val="18"/>
              </w:rPr>
              <w:t>Officer</w:t>
            </w:r>
          </w:p>
          <w:p w14:paraId="01F08F60" w14:textId="77777777" w:rsidR="00CD7E23" w:rsidRDefault="0081355B">
            <w:pPr>
              <w:jc w:val="both"/>
            </w:pPr>
            <w:r>
              <w:rPr>
                <w:rFonts w:eastAsia="Garamond"/>
                <w:b/>
                <w:bCs/>
                <w:spacing w:val="-2"/>
                <w:sz w:val="18"/>
                <w:szCs w:val="18"/>
              </w:rPr>
              <w:t xml:space="preserve">Number (301) 883 7834 </w:t>
            </w:r>
          </w:p>
          <w:p w14:paraId="04B9156B" w14:textId="77777777" w:rsidR="00CD7E23" w:rsidRDefault="0081355B">
            <w:r>
              <w:rPr>
                <w:b/>
                <w:bCs/>
                <w:sz w:val="18"/>
                <w:szCs w:val="18"/>
              </w:rPr>
              <w:t>Date: September 9, 2021</w:t>
            </w:r>
          </w:p>
        </w:tc>
        <w:tc>
          <w:tcPr>
            <w:tcW w:w="6498" w:type="dxa"/>
            <w:tcBorders>
              <w:bottom w:val="double" w:sz="12" w:space="0" w:color="000000"/>
            </w:tcBorders>
            <w:shd w:val="clear" w:color="auto" w:fill="auto"/>
            <w:tcMar>
              <w:top w:w="0" w:type="dxa"/>
              <w:left w:w="108" w:type="dxa"/>
              <w:bottom w:w="0" w:type="dxa"/>
              <w:right w:w="108" w:type="dxa"/>
            </w:tcMar>
            <w:vAlign w:val="center"/>
          </w:tcPr>
          <w:p w14:paraId="4B775E8C" w14:textId="77777777" w:rsidR="00CD7E23" w:rsidRDefault="0081355B">
            <w:pPr>
              <w:tabs>
                <w:tab w:val="left" w:pos="972"/>
              </w:tabs>
              <w:jc w:val="center"/>
              <w:rPr>
                <w:b/>
                <w:sz w:val="36"/>
                <w:szCs w:val="36"/>
              </w:rPr>
            </w:pPr>
            <w:r>
              <w:rPr>
                <w:b/>
                <w:sz w:val="36"/>
                <w:szCs w:val="36"/>
              </w:rPr>
              <w:t xml:space="preserve">Social Media Policy </w:t>
            </w:r>
          </w:p>
        </w:tc>
      </w:tr>
    </w:tbl>
    <w:p w14:paraId="00B7474B" w14:textId="77777777" w:rsidR="00CD7E23" w:rsidRDefault="00CD7E23">
      <w:pPr>
        <w:rPr>
          <w:rFonts w:ascii="Arial" w:hAnsi="Arial" w:cs="Arial"/>
          <w:sz w:val="18"/>
          <w:szCs w:val="21"/>
        </w:rPr>
      </w:pPr>
    </w:p>
    <w:p w14:paraId="1236B4D5" w14:textId="77777777" w:rsidR="00CD7E23" w:rsidRDefault="00CD7E23">
      <w:pPr>
        <w:jc w:val="both"/>
        <w:rPr>
          <w:rFonts w:ascii="Calibri" w:hAnsi="Calibri" w:cs="Calibri"/>
          <w:b/>
          <w:sz w:val="22"/>
          <w:szCs w:val="22"/>
        </w:rPr>
      </w:pPr>
    </w:p>
    <w:p w14:paraId="6FA55036" w14:textId="1FD8CF0D" w:rsidR="00EC529C" w:rsidRDefault="0081355B" w:rsidP="00EC529C">
      <w:pPr>
        <w:pStyle w:val="ListParagraph"/>
        <w:numPr>
          <w:ilvl w:val="0"/>
          <w:numId w:val="1"/>
        </w:numPr>
        <w:spacing w:after="160" w:line="254" w:lineRule="auto"/>
        <w:jc w:val="both"/>
      </w:pPr>
      <w:r>
        <w:rPr>
          <w:rFonts w:ascii="Times New Roman" w:hAnsi="Times New Roman"/>
          <w:b/>
        </w:rPr>
        <w:t>PURPOSE</w:t>
      </w:r>
      <w:r>
        <w:rPr>
          <w:rFonts w:ascii="Times New Roman" w:hAnsi="Times New Roman"/>
        </w:rPr>
        <w:t>:</w:t>
      </w:r>
      <w:r w:rsidR="00EC529C">
        <w:rPr>
          <w:rFonts w:ascii="Times New Roman" w:hAnsi="Times New Roman"/>
        </w:rPr>
        <w:t xml:space="preserve"> This policy establishes professional social media use parameters, including account creation, maintenance, and protocols for facilitating challenging conversation and managing customer service matters. </w:t>
      </w:r>
    </w:p>
    <w:p w14:paraId="4EFA9E92" w14:textId="0A38C4E3" w:rsidR="00660FE9" w:rsidRDefault="00EC529C" w:rsidP="00660FE9">
      <w:pPr>
        <w:spacing w:after="160" w:line="254" w:lineRule="auto"/>
        <w:ind w:left="720"/>
        <w:jc w:val="both"/>
        <w:rPr>
          <w:rFonts w:eastAsia="Calibri"/>
          <w:sz w:val="22"/>
          <w:szCs w:val="22"/>
        </w:rPr>
      </w:pPr>
      <w:r>
        <w:rPr>
          <w:sz w:val="22"/>
          <w:szCs w:val="22"/>
        </w:rPr>
        <w:t>The policy also incorporates aspects of PGC’s Brand Management Policy to ensure cohesive representation of PGC messaging both visually and verbally.</w:t>
      </w:r>
      <w:r w:rsidR="00660FE9" w:rsidRPr="00660FE9">
        <w:rPr>
          <w:rFonts w:eastAsia="Calibri"/>
          <w:sz w:val="22"/>
          <w:szCs w:val="22"/>
        </w:rPr>
        <w:t xml:space="preserve"> </w:t>
      </w:r>
      <w:r w:rsidR="00660FE9">
        <w:rPr>
          <w:rFonts w:eastAsia="Calibri"/>
          <w:sz w:val="22"/>
          <w:szCs w:val="22"/>
        </w:rPr>
        <w:t>This policy also is intended to help protect PGC and its employees from legal and other risks, as well as from damaging County Government and employee credibility. These are risks that can arise from posting information, engaging with social media users, and participating in related online social media interaction as it relates to PGC.</w:t>
      </w:r>
    </w:p>
    <w:p w14:paraId="34031025" w14:textId="7FA2237F" w:rsidR="00EC529C" w:rsidRDefault="00EC529C" w:rsidP="00EC529C">
      <w:pPr>
        <w:spacing w:after="160" w:line="254" w:lineRule="auto"/>
        <w:ind w:left="720"/>
        <w:jc w:val="both"/>
        <w:rPr>
          <w:sz w:val="22"/>
          <w:szCs w:val="22"/>
        </w:rPr>
      </w:pPr>
    </w:p>
    <w:p w14:paraId="5E70EA7E" w14:textId="4F9058A3" w:rsidR="00CD7E23" w:rsidRDefault="0081355B" w:rsidP="00EC529C">
      <w:pPr>
        <w:pStyle w:val="ListParagraph"/>
        <w:numPr>
          <w:ilvl w:val="0"/>
          <w:numId w:val="1"/>
        </w:numPr>
        <w:spacing w:after="160" w:line="254" w:lineRule="auto"/>
        <w:jc w:val="both"/>
      </w:pPr>
      <w:r>
        <w:rPr>
          <w:rFonts w:ascii="Times New Roman" w:hAnsi="Times New Roman"/>
          <w:b/>
        </w:rPr>
        <w:t>BACKGROUND</w:t>
      </w:r>
      <w:r>
        <w:rPr>
          <w:rFonts w:ascii="Times New Roman" w:hAnsi="Times New Roman"/>
        </w:rPr>
        <w:t xml:space="preserve">: </w:t>
      </w:r>
      <w:r w:rsidR="00EC529C">
        <w:rPr>
          <w:rFonts w:ascii="Times New Roman" w:hAnsi="Times New Roman"/>
        </w:rPr>
        <w:t xml:space="preserve">The Prince George’s County Health Department is critical to promoting safety, preventing disease, and addressing </w:t>
      </w:r>
      <w:r w:rsidR="00EC529C" w:rsidRPr="00F84F3B">
        <w:rPr>
          <w:rFonts w:ascii="Times New Roman" w:hAnsi="Times New Roman"/>
        </w:rPr>
        <w:t>community</w:t>
      </w:r>
      <w:r w:rsidR="00EC529C">
        <w:rPr>
          <w:rFonts w:ascii="Times New Roman" w:hAnsi="Times New Roman"/>
        </w:rPr>
        <w:t xml:space="preserve"> health needs for all Prince George’s County residents. Service, transparency, and accessibility are critical to the mission of PGC. As communication is increasingly facilitated online and through digital media, establishing guidelines for social media interactions is essential.</w:t>
      </w:r>
    </w:p>
    <w:p w14:paraId="2CE0CF39" w14:textId="77777777" w:rsidR="00CD7E23" w:rsidRDefault="0081355B">
      <w:pPr>
        <w:pStyle w:val="ListParagraph"/>
        <w:numPr>
          <w:ilvl w:val="0"/>
          <w:numId w:val="1"/>
        </w:numPr>
        <w:spacing w:after="160" w:line="254" w:lineRule="auto"/>
        <w:jc w:val="both"/>
      </w:pPr>
      <w:r>
        <w:rPr>
          <w:rFonts w:ascii="Times New Roman" w:hAnsi="Times New Roman"/>
          <w:b/>
          <w:bCs/>
        </w:rPr>
        <w:t>DEFINITIONS</w:t>
      </w:r>
      <w:r>
        <w:rPr>
          <w:rFonts w:ascii="Times New Roman" w:hAnsi="Times New Roman"/>
        </w:rPr>
        <w:t>. In this policy, the following terms have the meanings indicated.</w:t>
      </w:r>
    </w:p>
    <w:p w14:paraId="477A8351" w14:textId="77777777" w:rsidR="00CD7E23" w:rsidRDefault="0081355B">
      <w:pPr>
        <w:spacing w:after="160" w:line="254" w:lineRule="auto"/>
        <w:ind w:left="720"/>
        <w:jc w:val="both"/>
      </w:pPr>
      <w:r>
        <w:rPr>
          <w:rFonts w:eastAsia="Calibri"/>
          <w:sz w:val="22"/>
          <w:szCs w:val="22"/>
        </w:rPr>
        <w:t>“</w:t>
      </w:r>
      <w:r>
        <w:rPr>
          <w:rFonts w:eastAsia="Calibri"/>
          <w:b/>
          <w:bCs/>
          <w:sz w:val="22"/>
          <w:szCs w:val="22"/>
        </w:rPr>
        <w:t>Social media</w:t>
      </w:r>
      <w:r>
        <w:rPr>
          <w:rFonts w:eastAsia="Calibri"/>
          <w:sz w:val="22"/>
          <w:szCs w:val="22"/>
        </w:rPr>
        <w:t xml:space="preserve">” means forms of electronic communication such as websites for social networking and microblogging through which users create online communities to share information, ideas, personal messages, and other content (e.g., Facebook, Twitter, YouTube, Tumblr, Instagram, Snap, </w:t>
      </w:r>
      <w:proofErr w:type="gramStart"/>
      <w:r>
        <w:rPr>
          <w:rFonts w:eastAsia="Calibri"/>
          <w:sz w:val="22"/>
          <w:szCs w:val="22"/>
        </w:rPr>
        <w:t>Pinterest</w:t>
      </w:r>
      <w:proofErr w:type="gramEnd"/>
      <w:r>
        <w:rPr>
          <w:rFonts w:eastAsia="Calibri"/>
          <w:sz w:val="22"/>
          <w:szCs w:val="22"/>
        </w:rPr>
        <w:t xml:space="preserve"> and LinkedIn).</w:t>
      </w:r>
    </w:p>
    <w:p w14:paraId="420C8A73" w14:textId="77777777" w:rsidR="00CD7E23" w:rsidRDefault="0081355B">
      <w:pPr>
        <w:spacing w:after="160" w:line="254" w:lineRule="auto"/>
        <w:ind w:left="720"/>
        <w:jc w:val="both"/>
      </w:pPr>
      <w:r>
        <w:rPr>
          <w:rFonts w:eastAsia="Calibri"/>
          <w:sz w:val="22"/>
          <w:szCs w:val="22"/>
        </w:rPr>
        <w:t>“</w:t>
      </w:r>
      <w:r>
        <w:rPr>
          <w:rFonts w:eastAsia="Calibri"/>
          <w:b/>
          <w:bCs/>
          <w:sz w:val="22"/>
          <w:szCs w:val="22"/>
        </w:rPr>
        <w:t>Media</w:t>
      </w:r>
      <w:r>
        <w:rPr>
          <w:rFonts w:eastAsia="Calibri"/>
          <w:sz w:val="22"/>
          <w:szCs w:val="22"/>
        </w:rPr>
        <w:t>” means any mode of communication (e.g., radio, television, newspaper, magazine, Internet, social media, etc.) that may reach or influence people widely.</w:t>
      </w:r>
    </w:p>
    <w:p w14:paraId="76283750" w14:textId="77777777" w:rsidR="00CD7E23" w:rsidRDefault="0081355B">
      <w:pPr>
        <w:spacing w:after="160" w:line="254" w:lineRule="auto"/>
        <w:ind w:left="720"/>
        <w:jc w:val="both"/>
      </w:pPr>
      <w:r>
        <w:rPr>
          <w:rFonts w:eastAsia="Calibri"/>
          <w:sz w:val="22"/>
          <w:szCs w:val="22"/>
        </w:rPr>
        <w:t>“</w:t>
      </w:r>
      <w:r>
        <w:rPr>
          <w:rFonts w:eastAsia="Calibri"/>
          <w:b/>
          <w:bCs/>
          <w:sz w:val="22"/>
          <w:szCs w:val="22"/>
        </w:rPr>
        <w:t>Personal social media activities</w:t>
      </w:r>
      <w:r>
        <w:rPr>
          <w:rFonts w:eastAsia="Calibri"/>
          <w:sz w:val="22"/>
          <w:szCs w:val="22"/>
        </w:rPr>
        <w:t>” means accessing or posting information to a social media site that is not related to professional activities and responsibilities affiliated with PGC.</w:t>
      </w:r>
    </w:p>
    <w:p w14:paraId="7FDEFA96" w14:textId="77777777" w:rsidR="00CD7E23" w:rsidRDefault="0081355B">
      <w:pPr>
        <w:spacing w:after="160" w:line="254" w:lineRule="auto"/>
        <w:ind w:left="720"/>
        <w:jc w:val="both"/>
      </w:pPr>
      <w:r>
        <w:rPr>
          <w:rFonts w:eastAsia="Calibri"/>
          <w:sz w:val="22"/>
          <w:szCs w:val="22"/>
        </w:rPr>
        <w:t>“</w:t>
      </w:r>
      <w:r>
        <w:rPr>
          <w:rFonts w:eastAsia="Calibri"/>
          <w:b/>
          <w:bCs/>
          <w:sz w:val="22"/>
          <w:szCs w:val="22"/>
        </w:rPr>
        <w:t>Logo</w:t>
      </w:r>
      <w:r>
        <w:rPr>
          <w:rFonts w:eastAsia="Calibri"/>
          <w:sz w:val="22"/>
          <w:szCs w:val="22"/>
        </w:rPr>
        <w:t>” means a mark, symbol, or icon used to identify an organization; logos may or may not include text and/or type elements.</w:t>
      </w:r>
    </w:p>
    <w:p w14:paraId="28403684" w14:textId="77777777" w:rsidR="00CD7E23" w:rsidRDefault="0081355B">
      <w:pPr>
        <w:spacing w:after="160" w:line="254" w:lineRule="auto"/>
        <w:ind w:firstLine="720"/>
        <w:jc w:val="both"/>
      </w:pPr>
      <w:r>
        <w:rPr>
          <w:rFonts w:eastAsia="Calibri"/>
          <w:sz w:val="22"/>
          <w:szCs w:val="22"/>
        </w:rPr>
        <w:t>“</w:t>
      </w:r>
      <w:r>
        <w:rPr>
          <w:rFonts w:eastAsia="Calibri"/>
          <w:b/>
          <w:bCs/>
          <w:sz w:val="22"/>
          <w:szCs w:val="22"/>
        </w:rPr>
        <w:t>Hate speech</w:t>
      </w:r>
      <w:r>
        <w:rPr>
          <w:rFonts w:eastAsia="Calibri"/>
          <w:sz w:val="22"/>
          <w:szCs w:val="22"/>
        </w:rPr>
        <w:t xml:space="preserve">” means language that attacks, threatens, or insults a person or group of people. </w:t>
      </w:r>
    </w:p>
    <w:p w14:paraId="427840B1" w14:textId="77777777" w:rsidR="00CD7E23" w:rsidRDefault="0081355B">
      <w:pPr>
        <w:spacing w:after="160" w:line="254" w:lineRule="auto"/>
        <w:ind w:left="720"/>
        <w:jc w:val="both"/>
      </w:pPr>
      <w:r>
        <w:rPr>
          <w:rFonts w:eastAsia="Calibri"/>
          <w:sz w:val="22"/>
          <w:szCs w:val="22"/>
        </w:rPr>
        <w:t>“</w:t>
      </w:r>
      <w:r>
        <w:rPr>
          <w:rFonts w:eastAsia="Calibri"/>
          <w:b/>
          <w:bCs/>
          <w:sz w:val="22"/>
          <w:szCs w:val="22"/>
        </w:rPr>
        <w:t>Hide comment</w:t>
      </w:r>
      <w:r>
        <w:rPr>
          <w:rFonts w:eastAsia="Calibri"/>
          <w:sz w:val="22"/>
          <w:szCs w:val="22"/>
        </w:rPr>
        <w:t>” means a comment on Facebook will only be visible to the person who wrote it and their Facebook friends</w:t>
      </w:r>
    </w:p>
    <w:p w14:paraId="1A569EDE" w14:textId="77777777" w:rsidR="00CD7E23" w:rsidRDefault="0081355B">
      <w:pPr>
        <w:spacing w:after="160" w:line="254" w:lineRule="auto"/>
        <w:ind w:firstLine="720"/>
        <w:jc w:val="both"/>
      </w:pPr>
      <w:r>
        <w:rPr>
          <w:rFonts w:eastAsia="Calibri"/>
          <w:sz w:val="22"/>
          <w:szCs w:val="22"/>
        </w:rPr>
        <w:t>“</w:t>
      </w:r>
      <w:r>
        <w:rPr>
          <w:rFonts w:eastAsia="Calibri"/>
          <w:b/>
          <w:bCs/>
          <w:sz w:val="22"/>
          <w:szCs w:val="22"/>
        </w:rPr>
        <w:t>Threat</w:t>
      </w:r>
      <w:r>
        <w:rPr>
          <w:rFonts w:eastAsia="Calibri"/>
          <w:sz w:val="22"/>
          <w:szCs w:val="22"/>
        </w:rPr>
        <w:t>” means an expression of intent to inflict harm, injury or damage their Facebook friends.</w:t>
      </w:r>
    </w:p>
    <w:p w14:paraId="081978F4" w14:textId="77777777" w:rsidR="00CD7E23" w:rsidRDefault="0081355B">
      <w:pPr>
        <w:spacing w:after="160" w:line="254" w:lineRule="auto"/>
        <w:ind w:firstLine="720"/>
        <w:jc w:val="both"/>
      </w:pPr>
      <w:r>
        <w:rPr>
          <w:rFonts w:eastAsia="Calibri"/>
          <w:sz w:val="22"/>
          <w:szCs w:val="22"/>
        </w:rPr>
        <w:t>“</w:t>
      </w:r>
      <w:r>
        <w:rPr>
          <w:rFonts w:eastAsia="Calibri"/>
          <w:b/>
          <w:bCs/>
          <w:sz w:val="22"/>
          <w:szCs w:val="22"/>
        </w:rPr>
        <w:t>Misinformation</w:t>
      </w:r>
      <w:r>
        <w:rPr>
          <w:rFonts w:eastAsia="Calibri"/>
          <w:sz w:val="22"/>
          <w:szCs w:val="22"/>
        </w:rPr>
        <w:t>” means incorrect or misleading information.</w:t>
      </w:r>
    </w:p>
    <w:p w14:paraId="5441D4FF" w14:textId="77777777" w:rsidR="00CD7E23" w:rsidRDefault="00CD7E23">
      <w:pPr>
        <w:spacing w:after="160" w:line="254" w:lineRule="auto"/>
        <w:jc w:val="both"/>
        <w:rPr>
          <w:rFonts w:ascii="Calibri" w:eastAsia="Calibri" w:hAnsi="Calibri"/>
          <w:sz w:val="22"/>
          <w:szCs w:val="22"/>
        </w:rPr>
      </w:pPr>
    </w:p>
    <w:p w14:paraId="7C9528DA" w14:textId="77777777" w:rsidR="00CD7E23" w:rsidRDefault="0081355B">
      <w:pPr>
        <w:spacing w:after="160" w:line="254" w:lineRule="auto"/>
        <w:jc w:val="both"/>
      </w:pPr>
      <w:r>
        <w:rPr>
          <w:rFonts w:eastAsia="Calibri"/>
          <w:b/>
          <w:bCs/>
          <w:sz w:val="22"/>
          <w:szCs w:val="22"/>
        </w:rPr>
        <w:lastRenderedPageBreak/>
        <w:t xml:space="preserve">SOCIAL </w:t>
      </w:r>
      <w:r>
        <w:rPr>
          <w:rFonts w:eastAsia="Calibri"/>
          <w:b/>
          <w:bCs/>
        </w:rPr>
        <w:t>MEDIA</w:t>
      </w:r>
      <w:r>
        <w:rPr>
          <w:rFonts w:eastAsia="Calibri"/>
          <w:b/>
          <w:bCs/>
          <w:sz w:val="22"/>
          <w:szCs w:val="22"/>
        </w:rPr>
        <w:t xml:space="preserve"> COMMUNICATION</w:t>
      </w:r>
    </w:p>
    <w:p w14:paraId="38615D4F" w14:textId="77777777" w:rsidR="00660FE9" w:rsidRPr="00EC529C" w:rsidRDefault="00660FE9" w:rsidP="00660FE9">
      <w:pPr>
        <w:pStyle w:val="ListParagraph"/>
        <w:jc w:val="both"/>
      </w:pPr>
      <w:r w:rsidRPr="00EC529C">
        <w:t>This policy establishes guidelines for social media use including:</w:t>
      </w:r>
    </w:p>
    <w:p w14:paraId="0A45830F" w14:textId="77777777" w:rsidR="00660FE9" w:rsidRDefault="00660FE9" w:rsidP="00660FE9">
      <w:pPr>
        <w:pStyle w:val="ListParagraph"/>
        <w:numPr>
          <w:ilvl w:val="0"/>
          <w:numId w:val="8"/>
        </w:numPr>
        <w:spacing w:after="160" w:line="254" w:lineRule="auto"/>
        <w:jc w:val="both"/>
      </w:pPr>
      <w:r>
        <w:t>Content creation, like what is appropriate and pertinent</w:t>
      </w:r>
    </w:p>
    <w:p w14:paraId="27C18462" w14:textId="77777777" w:rsidR="00660FE9" w:rsidRDefault="00660FE9" w:rsidP="00660FE9">
      <w:pPr>
        <w:pStyle w:val="ListParagraph"/>
        <w:numPr>
          <w:ilvl w:val="0"/>
          <w:numId w:val="8"/>
        </w:numPr>
        <w:spacing w:after="160" w:line="254" w:lineRule="auto"/>
        <w:jc w:val="both"/>
      </w:pPr>
      <w:r>
        <w:t>M</w:t>
      </w:r>
      <w:r w:rsidRPr="00532FA8">
        <w:t xml:space="preserve">anagement of </w:t>
      </w:r>
      <w:r>
        <w:t>content interaction post-publishing</w:t>
      </w:r>
    </w:p>
    <w:p w14:paraId="46006457" w14:textId="77777777" w:rsidR="00660FE9" w:rsidRDefault="00660FE9" w:rsidP="00660FE9">
      <w:pPr>
        <w:pStyle w:val="ListParagraph"/>
        <w:numPr>
          <w:ilvl w:val="0"/>
          <w:numId w:val="8"/>
        </w:numPr>
        <w:spacing w:after="160" w:line="254" w:lineRule="auto"/>
        <w:jc w:val="both"/>
      </w:pPr>
      <w:r>
        <w:t>Specific i</w:t>
      </w:r>
      <w:r w:rsidRPr="00532FA8">
        <w:t xml:space="preserve">nformation </w:t>
      </w:r>
      <w:r>
        <w:t xml:space="preserve">shared </w:t>
      </w:r>
      <w:r w:rsidRPr="00532FA8">
        <w:t xml:space="preserve">via PGC-affiliated social media accounts </w:t>
      </w:r>
    </w:p>
    <w:p w14:paraId="1816350D" w14:textId="77777777" w:rsidR="00660FE9" w:rsidRPr="00532FA8" w:rsidRDefault="00660FE9" w:rsidP="00660FE9">
      <w:pPr>
        <w:pStyle w:val="ListParagraph"/>
        <w:numPr>
          <w:ilvl w:val="0"/>
          <w:numId w:val="8"/>
        </w:numPr>
        <w:spacing w:after="160" w:line="254" w:lineRule="auto"/>
        <w:jc w:val="both"/>
      </w:pPr>
      <w:r>
        <w:t>C</w:t>
      </w:r>
      <w:r w:rsidRPr="00532FA8">
        <w:t>ustomer service</w:t>
      </w:r>
      <w:r>
        <w:t xml:space="preserve"> and facilitating challenging conversation</w:t>
      </w:r>
    </w:p>
    <w:p w14:paraId="014D3AD2" w14:textId="77777777" w:rsidR="00CD7E23" w:rsidRDefault="00CD7E23">
      <w:pPr>
        <w:spacing w:after="160" w:line="254" w:lineRule="auto"/>
        <w:jc w:val="both"/>
        <w:rPr>
          <w:rFonts w:eastAsia="Calibri"/>
          <w:b/>
          <w:bCs/>
          <w:sz w:val="22"/>
          <w:szCs w:val="22"/>
        </w:rPr>
      </w:pPr>
    </w:p>
    <w:p w14:paraId="0AD63514" w14:textId="77777777" w:rsidR="00CD7E23" w:rsidRDefault="0081355B">
      <w:pPr>
        <w:pStyle w:val="ListParagraph"/>
        <w:numPr>
          <w:ilvl w:val="0"/>
          <w:numId w:val="2"/>
        </w:numPr>
        <w:spacing w:after="160" w:line="254" w:lineRule="auto"/>
        <w:jc w:val="both"/>
        <w:rPr>
          <w:rFonts w:ascii="Times New Roman" w:hAnsi="Times New Roman"/>
        </w:rPr>
      </w:pPr>
      <w:r>
        <w:rPr>
          <w:rFonts w:ascii="Times New Roman" w:hAnsi="Times New Roman"/>
        </w:rPr>
        <w:t xml:space="preserve">All PGC-affiliated social media accounts must abide by brand and visual identity standards set forth by the Office of Communications. </w:t>
      </w:r>
    </w:p>
    <w:p w14:paraId="56BEE8E0" w14:textId="77777777" w:rsidR="00CD7E23" w:rsidRDefault="00CD7E23">
      <w:pPr>
        <w:pStyle w:val="ListParagraph"/>
        <w:spacing w:after="160" w:line="254" w:lineRule="auto"/>
        <w:ind w:left="1080"/>
        <w:jc w:val="both"/>
        <w:rPr>
          <w:rFonts w:ascii="Times New Roman" w:hAnsi="Times New Roman"/>
        </w:rPr>
      </w:pPr>
    </w:p>
    <w:p w14:paraId="74F8CFF2" w14:textId="77777777" w:rsidR="00CD7E23" w:rsidRDefault="0081355B">
      <w:pPr>
        <w:pStyle w:val="ListParagraph"/>
        <w:numPr>
          <w:ilvl w:val="0"/>
          <w:numId w:val="2"/>
        </w:numPr>
        <w:spacing w:after="160" w:line="254" w:lineRule="auto"/>
        <w:jc w:val="both"/>
        <w:rPr>
          <w:rFonts w:ascii="Times New Roman" w:hAnsi="Times New Roman"/>
        </w:rPr>
      </w:pPr>
      <w:r>
        <w:rPr>
          <w:rFonts w:ascii="Times New Roman" w:hAnsi="Times New Roman"/>
        </w:rPr>
        <w:t xml:space="preserve"> All PGC-affiliated social media account titles must follow established naming conventions: Prince Georges County Department of Health [Office/Program/Administration]. </w:t>
      </w:r>
    </w:p>
    <w:p w14:paraId="084E7519" w14:textId="77777777" w:rsidR="00CD7E23" w:rsidRDefault="00CD7E23">
      <w:pPr>
        <w:pStyle w:val="ListParagraph"/>
        <w:spacing w:after="160" w:line="254" w:lineRule="auto"/>
        <w:ind w:left="1080"/>
        <w:jc w:val="both"/>
        <w:rPr>
          <w:rFonts w:ascii="Times New Roman" w:hAnsi="Times New Roman"/>
        </w:rPr>
      </w:pPr>
    </w:p>
    <w:p w14:paraId="44EEEF10" w14:textId="77777777" w:rsidR="00CD7E23" w:rsidRDefault="0081355B">
      <w:pPr>
        <w:pStyle w:val="ListParagraph"/>
        <w:numPr>
          <w:ilvl w:val="0"/>
          <w:numId w:val="2"/>
        </w:numPr>
        <w:spacing w:after="160" w:line="254" w:lineRule="auto"/>
        <w:jc w:val="both"/>
        <w:rPr>
          <w:rFonts w:ascii="Times New Roman" w:hAnsi="Times New Roman"/>
        </w:rPr>
      </w:pPr>
      <w:r>
        <w:rPr>
          <w:rFonts w:ascii="Times New Roman" w:hAnsi="Times New Roman"/>
        </w:rPr>
        <w:t xml:space="preserve">All PGC-affiliated social media account header imagery is at the discretion of the page manager but must reflect the page’s mission. </w:t>
      </w:r>
    </w:p>
    <w:p w14:paraId="1D560E62" w14:textId="77777777" w:rsidR="00CD7E23" w:rsidRDefault="00CD7E23">
      <w:pPr>
        <w:pStyle w:val="ListParagraph"/>
        <w:spacing w:after="160" w:line="254" w:lineRule="auto"/>
        <w:ind w:left="1080"/>
        <w:jc w:val="both"/>
        <w:rPr>
          <w:rFonts w:ascii="Times New Roman" w:hAnsi="Times New Roman"/>
        </w:rPr>
      </w:pPr>
    </w:p>
    <w:p w14:paraId="097289B7" w14:textId="77777777" w:rsidR="00CD7E23" w:rsidRDefault="0081355B">
      <w:pPr>
        <w:pStyle w:val="ListParagraph"/>
        <w:numPr>
          <w:ilvl w:val="0"/>
          <w:numId w:val="2"/>
        </w:numPr>
        <w:spacing w:after="160" w:line="254" w:lineRule="auto"/>
        <w:jc w:val="both"/>
        <w:rPr>
          <w:rFonts w:ascii="Times New Roman" w:hAnsi="Times New Roman"/>
        </w:rPr>
      </w:pPr>
      <w:r>
        <w:rPr>
          <w:rFonts w:ascii="Times New Roman" w:hAnsi="Times New Roman"/>
        </w:rPr>
        <w:t xml:space="preserve">All PGC-affiliated social media accounts must utilize profile photos as specified by the Office of Communications. </w:t>
      </w:r>
    </w:p>
    <w:p w14:paraId="0A19E93B" w14:textId="77777777" w:rsidR="00CD7E23" w:rsidRDefault="00CD7E23">
      <w:pPr>
        <w:pStyle w:val="ListParagraph"/>
        <w:rPr>
          <w:rFonts w:ascii="Times New Roman" w:hAnsi="Times New Roman"/>
        </w:rPr>
      </w:pPr>
    </w:p>
    <w:p w14:paraId="1F15354E" w14:textId="77777777" w:rsidR="00CD7E23" w:rsidRDefault="0081355B">
      <w:pPr>
        <w:pStyle w:val="ListParagraph"/>
        <w:numPr>
          <w:ilvl w:val="0"/>
          <w:numId w:val="2"/>
        </w:numPr>
        <w:spacing w:after="160" w:line="254" w:lineRule="auto"/>
        <w:jc w:val="both"/>
        <w:rPr>
          <w:rFonts w:ascii="Times New Roman" w:hAnsi="Times New Roman"/>
        </w:rPr>
      </w:pPr>
      <w:r>
        <w:rPr>
          <w:rFonts w:ascii="Times New Roman" w:hAnsi="Times New Roman"/>
        </w:rPr>
        <w:t>All PGC-affiliated social media accounts must be created using an official maryland.gov email address.</w:t>
      </w:r>
    </w:p>
    <w:p w14:paraId="0BAAC602" w14:textId="77777777" w:rsidR="00CD7E23" w:rsidRDefault="00CD7E23">
      <w:pPr>
        <w:pStyle w:val="ListParagraph"/>
        <w:rPr>
          <w:rFonts w:ascii="Times New Roman" w:hAnsi="Times New Roman"/>
        </w:rPr>
      </w:pPr>
    </w:p>
    <w:p w14:paraId="317AF7F2" w14:textId="77777777" w:rsidR="00CD7E23" w:rsidRDefault="0081355B">
      <w:pPr>
        <w:pStyle w:val="ListParagraph"/>
        <w:numPr>
          <w:ilvl w:val="0"/>
          <w:numId w:val="2"/>
        </w:numPr>
        <w:spacing w:after="160" w:line="254" w:lineRule="auto"/>
        <w:jc w:val="both"/>
        <w:rPr>
          <w:rFonts w:ascii="Times New Roman" w:hAnsi="Times New Roman"/>
        </w:rPr>
      </w:pPr>
      <w:r>
        <w:rPr>
          <w:rFonts w:ascii="Times New Roman" w:hAnsi="Times New Roman"/>
        </w:rPr>
        <w:t xml:space="preserve"> The PGC Office of Communications must be granted access as an account administrator upon creation.</w:t>
      </w:r>
    </w:p>
    <w:p w14:paraId="5586C1C0" w14:textId="77777777" w:rsidR="00CD7E23" w:rsidRDefault="00CD7E23">
      <w:pPr>
        <w:pStyle w:val="ListParagraph"/>
        <w:rPr>
          <w:rFonts w:ascii="Times New Roman" w:hAnsi="Times New Roman"/>
          <w:sz w:val="24"/>
          <w:szCs w:val="24"/>
        </w:rPr>
      </w:pPr>
    </w:p>
    <w:p w14:paraId="2DC3BD7D" w14:textId="77777777" w:rsidR="00CD7E23" w:rsidRDefault="0081355B">
      <w:pPr>
        <w:spacing w:after="160" w:line="254" w:lineRule="auto"/>
        <w:jc w:val="both"/>
        <w:rPr>
          <w:b/>
          <w:bCs/>
        </w:rPr>
      </w:pPr>
      <w:r>
        <w:rPr>
          <w:b/>
          <w:bCs/>
        </w:rPr>
        <w:t>CREATION</w:t>
      </w:r>
    </w:p>
    <w:p w14:paraId="49493CFA" w14:textId="044C353B" w:rsidR="00CD7E23" w:rsidRDefault="0081355B">
      <w:pPr>
        <w:pStyle w:val="ListParagraph"/>
        <w:numPr>
          <w:ilvl w:val="0"/>
          <w:numId w:val="3"/>
        </w:numPr>
        <w:spacing w:after="160" w:line="254" w:lineRule="auto"/>
        <w:jc w:val="both"/>
        <w:rPr>
          <w:rFonts w:ascii="Times New Roman" w:hAnsi="Times New Roman"/>
        </w:rPr>
      </w:pPr>
      <w:r>
        <w:rPr>
          <w:rFonts w:ascii="Times New Roman" w:hAnsi="Times New Roman"/>
        </w:rPr>
        <w:t xml:space="preserve">All PGC-affiliated social media accounts should function as a digital extension of the services that PGC provides and should disseminate information useful to the </w:t>
      </w:r>
      <w:r w:rsidR="00504F15">
        <w:rPr>
          <w:rFonts w:ascii="Times New Roman" w:hAnsi="Times New Roman"/>
        </w:rPr>
        <w:t>public</w:t>
      </w:r>
      <w:r>
        <w:rPr>
          <w:rFonts w:ascii="Times New Roman" w:hAnsi="Times New Roman"/>
        </w:rPr>
        <w:t xml:space="preserve"> — including health care resources, public health announcements, press releases, </w:t>
      </w:r>
      <w:proofErr w:type="gramStart"/>
      <w:r>
        <w:rPr>
          <w:rFonts w:ascii="Times New Roman" w:hAnsi="Times New Roman"/>
        </w:rPr>
        <w:t>safety</w:t>
      </w:r>
      <w:proofErr w:type="gramEnd"/>
      <w:r>
        <w:rPr>
          <w:rFonts w:ascii="Times New Roman" w:hAnsi="Times New Roman"/>
        </w:rPr>
        <w:t xml:space="preserve"> and preparedness information from federal, state and local partners, in addition to updates on departmental and statewide initiatives. </w:t>
      </w:r>
    </w:p>
    <w:p w14:paraId="19B5111F" w14:textId="77777777" w:rsidR="00CD7E23" w:rsidRDefault="00CD7E23">
      <w:pPr>
        <w:pStyle w:val="ListParagraph"/>
        <w:spacing w:after="160" w:line="254" w:lineRule="auto"/>
        <w:ind w:left="780"/>
        <w:jc w:val="both"/>
        <w:rPr>
          <w:rFonts w:ascii="Times New Roman" w:hAnsi="Times New Roman"/>
        </w:rPr>
      </w:pPr>
    </w:p>
    <w:p w14:paraId="525EA4FB" w14:textId="77777777" w:rsidR="00CD7E23" w:rsidRDefault="0081355B">
      <w:pPr>
        <w:pStyle w:val="ListParagraph"/>
        <w:numPr>
          <w:ilvl w:val="0"/>
          <w:numId w:val="3"/>
        </w:numPr>
        <w:spacing w:after="160" w:line="254" w:lineRule="auto"/>
        <w:jc w:val="both"/>
        <w:rPr>
          <w:rFonts w:ascii="Times New Roman" w:hAnsi="Times New Roman"/>
        </w:rPr>
      </w:pPr>
      <w:r>
        <w:rPr>
          <w:rFonts w:ascii="Times New Roman" w:hAnsi="Times New Roman"/>
        </w:rPr>
        <w:t>Entities that identify a need to create an official PGC affiliated social media account for their respective administration, office, program, initiative, etc. must first have written consent from the Office of Communications.</w:t>
      </w:r>
    </w:p>
    <w:p w14:paraId="13EC1F68" w14:textId="77777777" w:rsidR="00CD7E23" w:rsidRDefault="00CD7E23">
      <w:pPr>
        <w:pStyle w:val="ListParagraph"/>
        <w:rPr>
          <w:rFonts w:ascii="Times New Roman" w:hAnsi="Times New Roman"/>
        </w:rPr>
      </w:pPr>
    </w:p>
    <w:p w14:paraId="647D93AC" w14:textId="77777777" w:rsidR="00CD7E23" w:rsidRDefault="0081355B">
      <w:pPr>
        <w:pStyle w:val="ListParagraph"/>
        <w:numPr>
          <w:ilvl w:val="0"/>
          <w:numId w:val="3"/>
        </w:numPr>
        <w:spacing w:after="160" w:line="254" w:lineRule="auto"/>
        <w:jc w:val="both"/>
        <w:rPr>
          <w:rFonts w:ascii="Times New Roman" w:hAnsi="Times New Roman"/>
        </w:rPr>
      </w:pPr>
      <w:r>
        <w:rPr>
          <w:rFonts w:ascii="Times New Roman" w:hAnsi="Times New Roman"/>
        </w:rPr>
        <w:t xml:space="preserve">Requests to create any PGC-affiliated social media account must be submitted in writing to the Office of Communications and must include: </w:t>
      </w:r>
    </w:p>
    <w:p w14:paraId="409724D8" w14:textId="77777777" w:rsidR="00CD7E23" w:rsidRDefault="00CD7E23">
      <w:pPr>
        <w:pStyle w:val="ListParagraph"/>
        <w:rPr>
          <w:rFonts w:ascii="Times New Roman" w:hAnsi="Times New Roman"/>
        </w:rPr>
      </w:pPr>
    </w:p>
    <w:p w14:paraId="016D59E0" w14:textId="77777777" w:rsidR="00057757" w:rsidRDefault="00057757">
      <w:pPr>
        <w:sectPr w:rsidR="00057757">
          <w:footerReference w:type="default" r:id="rId8"/>
          <w:footerReference w:type="first" r:id="rId9"/>
          <w:pgSz w:w="12240" w:h="15840"/>
          <w:pgMar w:top="720" w:right="1152" w:bottom="720" w:left="1440" w:header="360" w:footer="141" w:gutter="0"/>
          <w:cols w:space="720"/>
          <w:titlePg/>
        </w:sectPr>
      </w:pPr>
    </w:p>
    <w:p w14:paraId="5B1D8CF6" w14:textId="77777777" w:rsidR="00CD7E23" w:rsidRDefault="0081355B">
      <w:pPr>
        <w:pStyle w:val="ListParagraph"/>
        <w:spacing w:after="160" w:line="254" w:lineRule="auto"/>
        <w:ind w:left="780"/>
        <w:jc w:val="both"/>
        <w:rPr>
          <w:rFonts w:ascii="Times New Roman" w:hAnsi="Times New Roman"/>
        </w:rPr>
      </w:pPr>
      <w:r>
        <w:rPr>
          <w:rFonts w:ascii="Times New Roman" w:hAnsi="Times New Roman"/>
        </w:rPr>
        <w:t xml:space="preserve">• A description of the administration, office, program, initiative, etc. including its </w:t>
      </w:r>
      <w:proofErr w:type="gramStart"/>
      <w:r>
        <w:rPr>
          <w:rFonts w:ascii="Times New Roman" w:hAnsi="Times New Roman"/>
        </w:rPr>
        <w:t>mission;</w:t>
      </w:r>
      <w:proofErr w:type="gramEnd"/>
      <w:r>
        <w:rPr>
          <w:rFonts w:ascii="Times New Roman" w:hAnsi="Times New Roman"/>
        </w:rPr>
        <w:t xml:space="preserve"> </w:t>
      </w:r>
    </w:p>
    <w:p w14:paraId="17B5A81D" w14:textId="77777777" w:rsidR="00CD7E23" w:rsidRDefault="0081355B">
      <w:pPr>
        <w:pStyle w:val="ListParagraph"/>
        <w:spacing w:after="160" w:line="254" w:lineRule="auto"/>
        <w:ind w:left="780"/>
        <w:jc w:val="both"/>
        <w:rPr>
          <w:rFonts w:ascii="Times New Roman" w:hAnsi="Times New Roman"/>
        </w:rPr>
      </w:pPr>
      <w:r>
        <w:rPr>
          <w:rFonts w:ascii="Times New Roman" w:hAnsi="Times New Roman"/>
        </w:rPr>
        <w:t xml:space="preserve">• Objectives to achieve through social media </w:t>
      </w:r>
      <w:proofErr w:type="gramStart"/>
      <w:r>
        <w:rPr>
          <w:rFonts w:ascii="Times New Roman" w:hAnsi="Times New Roman"/>
        </w:rPr>
        <w:t>outreach;</w:t>
      </w:r>
      <w:proofErr w:type="gramEnd"/>
      <w:r>
        <w:rPr>
          <w:rFonts w:ascii="Times New Roman" w:hAnsi="Times New Roman"/>
        </w:rPr>
        <w:t xml:space="preserve"> </w:t>
      </w:r>
    </w:p>
    <w:p w14:paraId="2EFF314F" w14:textId="77777777" w:rsidR="00CD7E23" w:rsidRDefault="0081355B">
      <w:pPr>
        <w:pStyle w:val="ListParagraph"/>
        <w:spacing w:after="160" w:line="254" w:lineRule="auto"/>
        <w:ind w:left="780"/>
        <w:jc w:val="both"/>
        <w:rPr>
          <w:rFonts w:ascii="Times New Roman" w:hAnsi="Times New Roman"/>
        </w:rPr>
      </w:pPr>
      <w:r>
        <w:rPr>
          <w:rFonts w:ascii="Times New Roman" w:hAnsi="Times New Roman"/>
        </w:rPr>
        <w:t xml:space="preserve">• List of proposed social media platform(s), including justification and proposed content for </w:t>
      </w:r>
      <w:proofErr w:type="gramStart"/>
      <w:r>
        <w:rPr>
          <w:rFonts w:ascii="Times New Roman" w:hAnsi="Times New Roman"/>
        </w:rPr>
        <w:t>each;</w:t>
      </w:r>
      <w:proofErr w:type="gramEnd"/>
    </w:p>
    <w:p w14:paraId="0F137633" w14:textId="77777777" w:rsidR="00CD7E23" w:rsidRDefault="0081355B">
      <w:pPr>
        <w:pStyle w:val="ListParagraph"/>
        <w:spacing w:after="160" w:line="254" w:lineRule="auto"/>
        <w:ind w:left="780"/>
        <w:jc w:val="both"/>
        <w:rPr>
          <w:rFonts w:ascii="Times New Roman" w:hAnsi="Times New Roman"/>
        </w:rPr>
      </w:pPr>
      <w:r>
        <w:rPr>
          <w:rFonts w:ascii="Times New Roman" w:hAnsi="Times New Roman"/>
        </w:rPr>
        <w:t xml:space="preserve"> • Audience </w:t>
      </w:r>
      <w:proofErr w:type="gramStart"/>
      <w:r>
        <w:rPr>
          <w:rFonts w:ascii="Times New Roman" w:hAnsi="Times New Roman"/>
        </w:rPr>
        <w:t>identification;</w:t>
      </w:r>
      <w:proofErr w:type="gramEnd"/>
      <w:r>
        <w:rPr>
          <w:rFonts w:ascii="Times New Roman" w:hAnsi="Times New Roman"/>
        </w:rPr>
        <w:t xml:space="preserve"> </w:t>
      </w:r>
    </w:p>
    <w:p w14:paraId="78AA357A" w14:textId="77777777" w:rsidR="00CD7E23" w:rsidRDefault="0081355B">
      <w:pPr>
        <w:pStyle w:val="ListParagraph"/>
        <w:spacing w:after="160" w:line="254" w:lineRule="auto"/>
        <w:ind w:left="780"/>
        <w:jc w:val="both"/>
        <w:rPr>
          <w:rFonts w:ascii="Times New Roman" w:hAnsi="Times New Roman"/>
        </w:rPr>
      </w:pPr>
      <w:r>
        <w:rPr>
          <w:rFonts w:ascii="Times New Roman" w:hAnsi="Times New Roman"/>
        </w:rPr>
        <w:t xml:space="preserve">• Strategic overview of content to be </w:t>
      </w:r>
      <w:proofErr w:type="gramStart"/>
      <w:r>
        <w:rPr>
          <w:rFonts w:ascii="Times New Roman" w:hAnsi="Times New Roman"/>
        </w:rPr>
        <w:t>posted;</w:t>
      </w:r>
      <w:proofErr w:type="gramEnd"/>
    </w:p>
    <w:p w14:paraId="34D276F1" w14:textId="0E2F8212" w:rsidR="00CD7E23" w:rsidRDefault="0081355B">
      <w:pPr>
        <w:pStyle w:val="ListParagraph"/>
        <w:spacing w:after="160" w:line="254" w:lineRule="auto"/>
        <w:ind w:left="780"/>
        <w:jc w:val="both"/>
        <w:rPr>
          <w:rFonts w:ascii="Times New Roman" w:hAnsi="Times New Roman"/>
        </w:rPr>
      </w:pPr>
      <w:r>
        <w:rPr>
          <w:rFonts w:ascii="Times New Roman" w:hAnsi="Times New Roman"/>
        </w:rPr>
        <w:t xml:space="preserve"> • Anticipated </w:t>
      </w:r>
      <w:r w:rsidR="00504F15">
        <w:rPr>
          <w:rFonts w:ascii="Times New Roman" w:hAnsi="Times New Roman"/>
        </w:rPr>
        <w:t xml:space="preserve">post </w:t>
      </w:r>
      <w:proofErr w:type="gramStart"/>
      <w:r w:rsidR="00504F15">
        <w:rPr>
          <w:rFonts w:ascii="Times New Roman" w:hAnsi="Times New Roman"/>
        </w:rPr>
        <w:t>recurrency</w:t>
      </w:r>
      <w:r>
        <w:rPr>
          <w:rFonts w:ascii="Times New Roman" w:hAnsi="Times New Roman"/>
        </w:rPr>
        <w:t>;</w:t>
      </w:r>
      <w:proofErr w:type="gramEnd"/>
      <w:r>
        <w:rPr>
          <w:rFonts w:ascii="Times New Roman" w:hAnsi="Times New Roman"/>
        </w:rPr>
        <w:t xml:space="preserve"> </w:t>
      </w:r>
    </w:p>
    <w:p w14:paraId="0929CB81" w14:textId="77777777" w:rsidR="00CD7E23" w:rsidRDefault="0081355B">
      <w:pPr>
        <w:pStyle w:val="ListParagraph"/>
        <w:spacing w:after="160" w:line="254" w:lineRule="auto"/>
        <w:ind w:left="780"/>
        <w:jc w:val="both"/>
        <w:rPr>
          <w:rFonts w:ascii="Times New Roman" w:hAnsi="Times New Roman"/>
        </w:rPr>
      </w:pPr>
      <w:r>
        <w:rPr>
          <w:rFonts w:ascii="Times New Roman" w:hAnsi="Times New Roman"/>
        </w:rPr>
        <w:t xml:space="preserve">• Plan and process for monitoring discussions and responding to </w:t>
      </w:r>
      <w:proofErr w:type="gramStart"/>
      <w:r>
        <w:rPr>
          <w:rFonts w:ascii="Times New Roman" w:hAnsi="Times New Roman"/>
        </w:rPr>
        <w:t>messages;</w:t>
      </w:r>
      <w:proofErr w:type="gramEnd"/>
      <w:r>
        <w:rPr>
          <w:rFonts w:ascii="Times New Roman" w:hAnsi="Times New Roman"/>
        </w:rPr>
        <w:t xml:space="preserve"> </w:t>
      </w:r>
    </w:p>
    <w:p w14:paraId="2370C013" w14:textId="77777777" w:rsidR="00CD7E23" w:rsidRDefault="0081355B">
      <w:pPr>
        <w:pStyle w:val="ListParagraph"/>
        <w:spacing w:after="160" w:line="254" w:lineRule="auto"/>
        <w:ind w:left="780"/>
        <w:jc w:val="both"/>
        <w:rPr>
          <w:rFonts w:ascii="Times New Roman" w:hAnsi="Times New Roman"/>
        </w:rPr>
      </w:pPr>
      <w:r>
        <w:rPr>
          <w:rFonts w:ascii="Times New Roman" w:hAnsi="Times New Roman"/>
        </w:rPr>
        <w:t xml:space="preserve">• Account manager and designee(s) </w:t>
      </w:r>
      <w:proofErr w:type="gramStart"/>
      <w:r>
        <w:rPr>
          <w:rFonts w:ascii="Times New Roman" w:hAnsi="Times New Roman"/>
        </w:rPr>
        <w:t>identification;</w:t>
      </w:r>
      <w:proofErr w:type="gramEnd"/>
    </w:p>
    <w:p w14:paraId="378552D3" w14:textId="77777777" w:rsidR="00CD7E23" w:rsidRDefault="0081355B">
      <w:pPr>
        <w:pStyle w:val="ListParagraph"/>
        <w:spacing w:after="160" w:line="254" w:lineRule="auto"/>
        <w:ind w:left="780"/>
        <w:jc w:val="both"/>
        <w:rPr>
          <w:rFonts w:ascii="Times New Roman" w:hAnsi="Times New Roman"/>
        </w:rPr>
      </w:pPr>
      <w:r>
        <w:rPr>
          <w:rFonts w:ascii="Times New Roman" w:hAnsi="Times New Roman"/>
        </w:rPr>
        <w:t xml:space="preserve"> • Proposed plan for Section 508 compliance.</w:t>
      </w:r>
    </w:p>
    <w:p w14:paraId="10C72BCB" w14:textId="77777777" w:rsidR="00057757" w:rsidRDefault="00057757">
      <w:pPr>
        <w:sectPr w:rsidR="00057757">
          <w:type w:val="continuous"/>
          <w:pgSz w:w="12240" w:h="15840"/>
          <w:pgMar w:top="720" w:right="1152" w:bottom="720" w:left="1440" w:header="360" w:footer="141" w:gutter="0"/>
          <w:cols w:num="2" w:space="720"/>
          <w:titlePg/>
        </w:sectPr>
      </w:pPr>
    </w:p>
    <w:p w14:paraId="43E7B4A2" w14:textId="77777777" w:rsidR="00CD7E23" w:rsidRDefault="00CD7E23">
      <w:pPr>
        <w:spacing w:after="160" w:line="254" w:lineRule="auto"/>
        <w:jc w:val="both"/>
        <w:rPr>
          <w:rFonts w:ascii="Calibri" w:eastAsia="Calibri" w:hAnsi="Calibri"/>
          <w:sz w:val="22"/>
          <w:szCs w:val="22"/>
        </w:rPr>
      </w:pPr>
    </w:p>
    <w:p w14:paraId="2B0972EF" w14:textId="77777777" w:rsidR="00CD7E23" w:rsidRDefault="00CD7E23">
      <w:pPr>
        <w:spacing w:after="160" w:line="254" w:lineRule="auto"/>
        <w:jc w:val="both"/>
        <w:rPr>
          <w:rFonts w:ascii="Calibri" w:eastAsia="Calibri" w:hAnsi="Calibri"/>
          <w:sz w:val="22"/>
          <w:szCs w:val="22"/>
        </w:rPr>
      </w:pPr>
    </w:p>
    <w:p w14:paraId="248B0AA0" w14:textId="77777777" w:rsidR="00CD7E23" w:rsidRDefault="00CD7E23">
      <w:pPr>
        <w:spacing w:after="160" w:line="254" w:lineRule="auto"/>
        <w:jc w:val="both"/>
        <w:rPr>
          <w:rFonts w:ascii="Calibri" w:eastAsia="Calibri" w:hAnsi="Calibri"/>
          <w:sz w:val="22"/>
          <w:szCs w:val="22"/>
        </w:rPr>
      </w:pPr>
    </w:p>
    <w:p w14:paraId="052360C3" w14:textId="77777777" w:rsidR="00CD7E23" w:rsidRDefault="00CD7E23">
      <w:pPr>
        <w:spacing w:after="160" w:line="254" w:lineRule="auto"/>
        <w:jc w:val="both"/>
        <w:rPr>
          <w:rFonts w:eastAsia="Calibri"/>
          <w:b/>
          <w:bCs/>
          <w:sz w:val="22"/>
          <w:szCs w:val="22"/>
        </w:rPr>
      </w:pPr>
    </w:p>
    <w:p w14:paraId="3943DB01" w14:textId="77777777" w:rsidR="00CD7E23" w:rsidRDefault="0081355B">
      <w:pPr>
        <w:spacing w:after="160" w:line="254" w:lineRule="auto"/>
        <w:jc w:val="both"/>
        <w:rPr>
          <w:rFonts w:eastAsia="Calibri"/>
          <w:b/>
          <w:bCs/>
          <w:sz w:val="22"/>
          <w:szCs w:val="22"/>
        </w:rPr>
      </w:pPr>
      <w:r>
        <w:rPr>
          <w:rFonts w:eastAsia="Calibri"/>
          <w:b/>
          <w:bCs/>
          <w:sz w:val="22"/>
          <w:szCs w:val="22"/>
        </w:rPr>
        <w:t xml:space="preserve">Department of Social Media Activity </w:t>
      </w:r>
    </w:p>
    <w:p w14:paraId="7B3577BF" w14:textId="77777777" w:rsidR="00CD7E23" w:rsidRDefault="0081355B">
      <w:pPr>
        <w:pStyle w:val="ListParagraph"/>
        <w:numPr>
          <w:ilvl w:val="0"/>
          <w:numId w:val="4"/>
        </w:numPr>
        <w:spacing w:after="160" w:line="240" w:lineRule="auto"/>
        <w:jc w:val="both"/>
        <w:rPr>
          <w:rFonts w:ascii="Times New Roman" w:hAnsi="Times New Roman"/>
        </w:rPr>
      </w:pPr>
      <w:r>
        <w:rPr>
          <w:rFonts w:ascii="Times New Roman" w:hAnsi="Times New Roman"/>
        </w:rPr>
        <w:t>All social media content must be consistent with brand standards.</w:t>
      </w:r>
    </w:p>
    <w:p w14:paraId="4D3FD80A" w14:textId="77777777" w:rsidR="00CD7E23" w:rsidRDefault="00CD7E23">
      <w:pPr>
        <w:pStyle w:val="ListParagraph"/>
        <w:spacing w:after="160" w:line="240" w:lineRule="auto"/>
        <w:jc w:val="both"/>
        <w:rPr>
          <w:rFonts w:ascii="Times New Roman" w:hAnsi="Times New Roman"/>
        </w:rPr>
      </w:pPr>
    </w:p>
    <w:p w14:paraId="254FE900" w14:textId="7B441FAE" w:rsidR="00CD7E23" w:rsidRDefault="0081355B">
      <w:pPr>
        <w:pStyle w:val="ListParagraph"/>
        <w:numPr>
          <w:ilvl w:val="0"/>
          <w:numId w:val="4"/>
        </w:numPr>
        <w:spacing w:after="160" w:line="240" w:lineRule="auto"/>
        <w:jc w:val="both"/>
        <w:rPr>
          <w:rFonts w:ascii="Times New Roman" w:hAnsi="Times New Roman"/>
        </w:rPr>
      </w:pPr>
      <w:r>
        <w:rPr>
          <w:rFonts w:ascii="Times New Roman" w:hAnsi="Times New Roman"/>
        </w:rPr>
        <w:t>Image</w:t>
      </w:r>
      <w:r w:rsidR="00504F15">
        <w:rPr>
          <w:rFonts w:ascii="Times New Roman" w:hAnsi="Times New Roman"/>
        </w:rPr>
        <w:t xml:space="preserve">s </w:t>
      </w:r>
      <w:r>
        <w:rPr>
          <w:rFonts w:ascii="Times New Roman" w:hAnsi="Times New Roman"/>
        </w:rPr>
        <w:t xml:space="preserve">must </w:t>
      </w:r>
      <w:r w:rsidR="00504F15">
        <w:rPr>
          <w:rFonts w:ascii="Times New Roman" w:hAnsi="Times New Roman"/>
        </w:rPr>
        <w:t xml:space="preserve">be </w:t>
      </w:r>
      <w:r>
        <w:rPr>
          <w:rFonts w:ascii="Times New Roman" w:hAnsi="Times New Roman"/>
        </w:rPr>
        <w:t>quality and professional</w:t>
      </w:r>
      <w:r w:rsidR="00504F15">
        <w:rPr>
          <w:rFonts w:ascii="Times New Roman" w:hAnsi="Times New Roman"/>
        </w:rPr>
        <w:t>.</w:t>
      </w:r>
      <w:r>
        <w:rPr>
          <w:rFonts w:ascii="Times New Roman" w:hAnsi="Times New Roman"/>
        </w:rPr>
        <w:t xml:space="preserve"> </w:t>
      </w:r>
      <w:r w:rsidR="00504F15">
        <w:rPr>
          <w:rFonts w:ascii="Times New Roman" w:hAnsi="Times New Roman"/>
        </w:rPr>
        <w:t>They</w:t>
      </w:r>
      <w:r>
        <w:rPr>
          <w:rFonts w:ascii="Times New Roman" w:hAnsi="Times New Roman"/>
        </w:rPr>
        <w:t xml:space="preserve"> </w:t>
      </w:r>
      <w:r w:rsidR="00504F15">
        <w:rPr>
          <w:rFonts w:ascii="Times New Roman" w:hAnsi="Times New Roman"/>
        </w:rPr>
        <w:t>must always be pertinent to</w:t>
      </w:r>
      <w:r>
        <w:rPr>
          <w:rFonts w:ascii="Times New Roman" w:hAnsi="Times New Roman"/>
        </w:rPr>
        <w:t xml:space="preserve"> the content </w:t>
      </w:r>
      <w:r w:rsidR="00504F15">
        <w:rPr>
          <w:rFonts w:ascii="Times New Roman" w:hAnsi="Times New Roman"/>
        </w:rPr>
        <w:t xml:space="preserve">to </w:t>
      </w:r>
      <w:r>
        <w:rPr>
          <w:rFonts w:ascii="Times New Roman" w:hAnsi="Times New Roman"/>
        </w:rPr>
        <w:t xml:space="preserve">which </w:t>
      </w:r>
      <w:r w:rsidR="00504F15">
        <w:rPr>
          <w:rFonts w:ascii="Times New Roman" w:hAnsi="Times New Roman"/>
        </w:rPr>
        <w:t>they</w:t>
      </w:r>
      <w:r>
        <w:rPr>
          <w:rFonts w:ascii="Times New Roman" w:hAnsi="Times New Roman"/>
        </w:rPr>
        <w:t xml:space="preserve"> </w:t>
      </w:r>
      <w:r w:rsidR="00504F15">
        <w:rPr>
          <w:rFonts w:ascii="Times New Roman" w:hAnsi="Times New Roman"/>
        </w:rPr>
        <w:t>are</w:t>
      </w:r>
      <w:r>
        <w:rPr>
          <w:rFonts w:ascii="Times New Roman" w:hAnsi="Times New Roman"/>
        </w:rPr>
        <w:t xml:space="preserve"> applied</w:t>
      </w:r>
      <w:r w:rsidR="00B73146">
        <w:rPr>
          <w:rFonts w:ascii="Times New Roman" w:hAnsi="Times New Roman"/>
        </w:rPr>
        <w:t xml:space="preserve">, or at least instrumental in establishing said pertinence. </w:t>
      </w:r>
    </w:p>
    <w:p w14:paraId="05AA7806" w14:textId="77777777" w:rsidR="00CD7E23" w:rsidRDefault="00CD7E23">
      <w:pPr>
        <w:pStyle w:val="ListParagraph"/>
        <w:rPr>
          <w:rFonts w:ascii="Times New Roman" w:hAnsi="Times New Roman"/>
        </w:rPr>
      </w:pPr>
    </w:p>
    <w:p w14:paraId="77CB3B8B" w14:textId="77777777" w:rsidR="00CD7E23" w:rsidRDefault="00CD7E23">
      <w:pPr>
        <w:pStyle w:val="ListParagraph"/>
        <w:spacing w:after="160" w:line="240" w:lineRule="auto"/>
        <w:jc w:val="both"/>
        <w:rPr>
          <w:rFonts w:ascii="Times New Roman" w:hAnsi="Times New Roman"/>
        </w:rPr>
      </w:pPr>
    </w:p>
    <w:p w14:paraId="4AB83AA2" w14:textId="77777777" w:rsidR="00CD7E23" w:rsidRDefault="0081355B">
      <w:pPr>
        <w:pStyle w:val="ListParagraph"/>
        <w:numPr>
          <w:ilvl w:val="0"/>
          <w:numId w:val="4"/>
        </w:numPr>
        <w:spacing w:after="160" w:line="240" w:lineRule="auto"/>
        <w:jc w:val="both"/>
        <w:rPr>
          <w:rFonts w:ascii="Times New Roman" w:hAnsi="Times New Roman"/>
        </w:rPr>
      </w:pPr>
      <w:r>
        <w:rPr>
          <w:rFonts w:ascii="Times New Roman" w:hAnsi="Times New Roman"/>
        </w:rPr>
        <w:t xml:space="preserve">Use of the PGC logo must first be approved by the Office of Communications. </w:t>
      </w:r>
    </w:p>
    <w:p w14:paraId="18AE2B80" w14:textId="77777777" w:rsidR="00CD7E23" w:rsidRDefault="00CD7E23">
      <w:pPr>
        <w:pStyle w:val="ListParagraph"/>
        <w:spacing w:after="160" w:line="240" w:lineRule="auto"/>
        <w:jc w:val="both"/>
        <w:rPr>
          <w:rFonts w:ascii="Times New Roman" w:hAnsi="Times New Roman"/>
        </w:rPr>
      </w:pPr>
    </w:p>
    <w:p w14:paraId="6CC78E63" w14:textId="77777777" w:rsidR="00CD7E23" w:rsidRDefault="0081355B">
      <w:pPr>
        <w:pStyle w:val="ListParagraph"/>
        <w:numPr>
          <w:ilvl w:val="0"/>
          <w:numId w:val="4"/>
        </w:numPr>
        <w:spacing w:after="160" w:line="240" w:lineRule="auto"/>
        <w:jc w:val="both"/>
        <w:rPr>
          <w:rFonts w:ascii="Times New Roman" w:hAnsi="Times New Roman"/>
        </w:rPr>
      </w:pPr>
      <w:r>
        <w:rPr>
          <w:rFonts w:ascii="Times New Roman" w:hAnsi="Times New Roman"/>
        </w:rPr>
        <w:t xml:space="preserve">All social media posts must be accurate, timely, and compliant with Section 508 accessibility standards to the greatest extent possible. </w:t>
      </w:r>
    </w:p>
    <w:p w14:paraId="3EAE5158" w14:textId="77777777" w:rsidR="00CD7E23" w:rsidRDefault="00CD7E23">
      <w:pPr>
        <w:pStyle w:val="ListParagraph"/>
        <w:spacing w:after="160" w:line="240" w:lineRule="auto"/>
        <w:jc w:val="both"/>
        <w:rPr>
          <w:rFonts w:ascii="Times New Roman" w:hAnsi="Times New Roman"/>
        </w:rPr>
      </w:pPr>
    </w:p>
    <w:p w14:paraId="40736DAB" w14:textId="17941055" w:rsidR="00CD7E23" w:rsidRDefault="0081355B">
      <w:pPr>
        <w:pStyle w:val="ListParagraph"/>
        <w:numPr>
          <w:ilvl w:val="0"/>
          <w:numId w:val="4"/>
        </w:numPr>
        <w:spacing w:after="160" w:line="240" w:lineRule="auto"/>
        <w:jc w:val="both"/>
        <w:rPr>
          <w:rFonts w:ascii="Times New Roman" w:hAnsi="Times New Roman"/>
        </w:rPr>
      </w:pPr>
      <w:r>
        <w:rPr>
          <w:rFonts w:ascii="Times New Roman" w:hAnsi="Times New Roman"/>
        </w:rPr>
        <w:t xml:space="preserve">All social media posts must be written using plain </w:t>
      </w:r>
      <w:r w:rsidR="00537825">
        <w:rPr>
          <w:rFonts w:ascii="Times New Roman" w:hAnsi="Times New Roman"/>
        </w:rPr>
        <w:t xml:space="preserve">and concise </w:t>
      </w:r>
      <w:r>
        <w:rPr>
          <w:rFonts w:ascii="Times New Roman" w:hAnsi="Times New Roman"/>
        </w:rPr>
        <w:t xml:space="preserve">language. </w:t>
      </w:r>
    </w:p>
    <w:p w14:paraId="274304A7" w14:textId="77777777" w:rsidR="00CD7E23" w:rsidRDefault="00CD7E23">
      <w:pPr>
        <w:pStyle w:val="ListParagraph"/>
        <w:spacing w:after="160" w:line="240" w:lineRule="auto"/>
        <w:jc w:val="both"/>
        <w:rPr>
          <w:rFonts w:ascii="Times New Roman" w:hAnsi="Times New Roman"/>
        </w:rPr>
      </w:pPr>
    </w:p>
    <w:p w14:paraId="511631BD" w14:textId="77777777" w:rsidR="00CD7E23" w:rsidRDefault="0081355B">
      <w:pPr>
        <w:pStyle w:val="ListParagraph"/>
        <w:numPr>
          <w:ilvl w:val="0"/>
          <w:numId w:val="4"/>
        </w:numPr>
        <w:spacing w:after="160" w:line="240" w:lineRule="auto"/>
        <w:jc w:val="both"/>
      </w:pPr>
      <w:r>
        <w:rPr>
          <w:rFonts w:ascii="Times New Roman" w:hAnsi="Times New Roman"/>
        </w:rPr>
        <w:t>All social media content must cite sources of information as appropriate and may only share content from verified sources including academic, federal, state, and local partners.</w:t>
      </w:r>
    </w:p>
    <w:p w14:paraId="5B7F0CE7" w14:textId="77777777" w:rsidR="00CD7E23" w:rsidRDefault="00CD7E23">
      <w:pPr>
        <w:pStyle w:val="ListParagraph"/>
        <w:rPr>
          <w:rFonts w:ascii="Times New Roman" w:hAnsi="Times New Roman"/>
          <w:b/>
          <w:bCs/>
        </w:rPr>
      </w:pPr>
    </w:p>
    <w:p w14:paraId="341EF3AD" w14:textId="77777777" w:rsidR="00CD7E23" w:rsidRDefault="00CD7E23">
      <w:pPr>
        <w:pStyle w:val="ListParagraph"/>
        <w:spacing w:after="160" w:line="254" w:lineRule="auto"/>
        <w:jc w:val="both"/>
        <w:rPr>
          <w:rFonts w:ascii="Times New Roman" w:hAnsi="Times New Roman"/>
          <w:b/>
          <w:bCs/>
        </w:rPr>
      </w:pPr>
    </w:p>
    <w:p w14:paraId="2598A146" w14:textId="77777777" w:rsidR="00CD7E23" w:rsidRDefault="0081355B">
      <w:pPr>
        <w:spacing w:after="160" w:line="254" w:lineRule="auto"/>
        <w:jc w:val="both"/>
        <w:rPr>
          <w:rFonts w:eastAsia="Calibri"/>
          <w:b/>
          <w:bCs/>
          <w:sz w:val="22"/>
          <w:szCs w:val="22"/>
        </w:rPr>
      </w:pPr>
      <w:r>
        <w:rPr>
          <w:rFonts w:eastAsia="Calibri"/>
          <w:b/>
          <w:bCs/>
          <w:sz w:val="22"/>
          <w:szCs w:val="22"/>
        </w:rPr>
        <w:t>PERSONAL SOCIAL MEDIA ACTIVITY</w:t>
      </w:r>
    </w:p>
    <w:p w14:paraId="6B6FCDBF" w14:textId="77777777" w:rsidR="00CD7E23" w:rsidRDefault="0081355B">
      <w:pPr>
        <w:pStyle w:val="ListParagraph"/>
        <w:numPr>
          <w:ilvl w:val="0"/>
          <w:numId w:val="6"/>
        </w:numPr>
        <w:spacing w:after="160" w:line="254" w:lineRule="auto"/>
        <w:jc w:val="both"/>
        <w:rPr>
          <w:rFonts w:ascii="Times New Roman" w:hAnsi="Times New Roman"/>
        </w:rPr>
      </w:pPr>
      <w:r>
        <w:rPr>
          <w:rFonts w:ascii="Times New Roman" w:hAnsi="Times New Roman"/>
        </w:rPr>
        <w:t xml:space="preserve">Employees must use a personal email address, not an PGC email address, for personal social media activities. </w:t>
      </w:r>
    </w:p>
    <w:p w14:paraId="3B3517FD" w14:textId="77777777" w:rsidR="00CD7E23" w:rsidRDefault="0081355B">
      <w:pPr>
        <w:pStyle w:val="ListParagraph"/>
        <w:numPr>
          <w:ilvl w:val="0"/>
          <w:numId w:val="6"/>
        </w:numPr>
        <w:spacing w:after="160" w:line="254" w:lineRule="auto"/>
        <w:jc w:val="both"/>
        <w:rPr>
          <w:rFonts w:ascii="Times New Roman" w:hAnsi="Times New Roman"/>
        </w:rPr>
      </w:pPr>
      <w:r>
        <w:rPr>
          <w:rFonts w:ascii="Times New Roman" w:hAnsi="Times New Roman"/>
        </w:rPr>
        <w:t xml:space="preserve">Employees are personally responsible for any social media posts to personal accounts. </w:t>
      </w:r>
    </w:p>
    <w:p w14:paraId="00F3E79A" w14:textId="77777777" w:rsidR="00537825" w:rsidRDefault="0081355B">
      <w:pPr>
        <w:pStyle w:val="ListParagraph"/>
        <w:numPr>
          <w:ilvl w:val="0"/>
          <w:numId w:val="6"/>
        </w:numPr>
        <w:spacing w:after="160" w:line="254" w:lineRule="auto"/>
        <w:jc w:val="both"/>
        <w:rPr>
          <w:rFonts w:ascii="Times New Roman" w:hAnsi="Times New Roman"/>
        </w:rPr>
      </w:pPr>
      <w:r>
        <w:rPr>
          <w:rFonts w:ascii="Times New Roman" w:hAnsi="Times New Roman"/>
        </w:rPr>
        <w:t xml:space="preserve">Employees are expected to follow all applicable laws and regulations governing social media use. </w:t>
      </w:r>
    </w:p>
    <w:p w14:paraId="6DCEEC24" w14:textId="77777777" w:rsidR="00537825" w:rsidRDefault="00537825" w:rsidP="00537825">
      <w:pPr>
        <w:pStyle w:val="ListParagraph"/>
        <w:spacing w:after="160" w:line="254" w:lineRule="auto"/>
        <w:jc w:val="both"/>
        <w:rPr>
          <w:rFonts w:ascii="Times New Roman" w:hAnsi="Times New Roman"/>
        </w:rPr>
      </w:pPr>
    </w:p>
    <w:p w14:paraId="283D77F8" w14:textId="77777777" w:rsidR="00CD7E23" w:rsidRDefault="0081355B">
      <w:pPr>
        <w:spacing w:after="160" w:line="254" w:lineRule="auto"/>
        <w:jc w:val="both"/>
        <w:rPr>
          <w:rFonts w:eastAsia="Calibri"/>
          <w:b/>
          <w:bCs/>
          <w:sz w:val="22"/>
          <w:szCs w:val="22"/>
        </w:rPr>
      </w:pPr>
      <w:r>
        <w:rPr>
          <w:rFonts w:eastAsia="Calibri"/>
          <w:b/>
          <w:bCs/>
          <w:sz w:val="22"/>
          <w:szCs w:val="22"/>
        </w:rPr>
        <w:t>RESTRICTIONS</w:t>
      </w:r>
    </w:p>
    <w:p w14:paraId="302B0032" w14:textId="77777777" w:rsidR="00537825" w:rsidRDefault="00537825" w:rsidP="00537825">
      <w:pPr>
        <w:pStyle w:val="ListParagraph"/>
        <w:numPr>
          <w:ilvl w:val="0"/>
          <w:numId w:val="7"/>
        </w:numPr>
        <w:spacing w:after="160" w:line="254" w:lineRule="auto"/>
        <w:jc w:val="both"/>
        <w:rPr>
          <w:rFonts w:ascii="Times New Roman" w:hAnsi="Times New Roman"/>
        </w:rPr>
      </w:pPr>
      <w:r>
        <w:rPr>
          <w:rFonts w:ascii="Times New Roman" w:hAnsi="Times New Roman"/>
        </w:rPr>
        <w:t xml:space="preserve">Employees may not post to personal social media accounts using PGC electronic resources.  </w:t>
      </w:r>
    </w:p>
    <w:p w14:paraId="46805E31" w14:textId="45AA4522" w:rsidR="00537825" w:rsidRDefault="00537825" w:rsidP="00537825">
      <w:pPr>
        <w:pStyle w:val="ListParagraph"/>
        <w:numPr>
          <w:ilvl w:val="0"/>
          <w:numId w:val="7"/>
        </w:numPr>
        <w:spacing w:after="160" w:line="254" w:lineRule="auto"/>
        <w:jc w:val="both"/>
        <w:rPr>
          <w:rFonts w:ascii="Times New Roman" w:hAnsi="Times New Roman"/>
        </w:rPr>
      </w:pPr>
      <w:r>
        <w:rPr>
          <w:rFonts w:ascii="Times New Roman" w:hAnsi="Times New Roman"/>
        </w:rPr>
        <w:t>Employees may not create the impression that they represent the opinion of or the position of PGC in any personal social media posts</w:t>
      </w:r>
    </w:p>
    <w:p w14:paraId="593030B2" w14:textId="77777777" w:rsidR="00CD7E23" w:rsidRDefault="0081355B">
      <w:pPr>
        <w:pStyle w:val="ListParagraph"/>
        <w:numPr>
          <w:ilvl w:val="0"/>
          <w:numId w:val="7"/>
        </w:numPr>
        <w:spacing w:after="160" w:line="254" w:lineRule="auto"/>
        <w:jc w:val="both"/>
        <w:rPr>
          <w:rFonts w:ascii="Times New Roman" w:hAnsi="Times New Roman"/>
        </w:rPr>
      </w:pPr>
      <w:r>
        <w:rPr>
          <w:rFonts w:ascii="Times New Roman" w:hAnsi="Times New Roman"/>
        </w:rPr>
        <w:t>Activity on PGC-affiliated social media platforms may only be facilitated by identified account managers or their designee(s).</w:t>
      </w:r>
    </w:p>
    <w:p w14:paraId="28C90112" w14:textId="77777777" w:rsidR="00CD7E23" w:rsidRDefault="0081355B">
      <w:pPr>
        <w:pStyle w:val="ListParagraph"/>
        <w:numPr>
          <w:ilvl w:val="0"/>
          <w:numId w:val="7"/>
        </w:numPr>
        <w:spacing w:after="160" w:line="254" w:lineRule="auto"/>
        <w:jc w:val="both"/>
        <w:rPr>
          <w:rFonts w:ascii="Times New Roman" w:hAnsi="Times New Roman"/>
        </w:rPr>
      </w:pPr>
      <w:r>
        <w:rPr>
          <w:rFonts w:ascii="Times New Roman" w:hAnsi="Times New Roman"/>
        </w:rPr>
        <w:t xml:space="preserve">Account approval is at the discretion of the Office of Communications. </w:t>
      </w:r>
    </w:p>
    <w:p w14:paraId="423AD24D" w14:textId="77777777" w:rsidR="00CD7E23" w:rsidRDefault="0081355B">
      <w:pPr>
        <w:pStyle w:val="ListParagraph"/>
        <w:numPr>
          <w:ilvl w:val="0"/>
          <w:numId w:val="7"/>
        </w:numPr>
        <w:spacing w:after="160" w:line="254" w:lineRule="auto"/>
        <w:jc w:val="both"/>
        <w:rPr>
          <w:rFonts w:ascii="Times New Roman" w:hAnsi="Times New Roman"/>
        </w:rPr>
      </w:pPr>
      <w:r>
        <w:rPr>
          <w:rFonts w:ascii="Times New Roman" w:hAnsi="Times New Roman"/>
        </w:rPr>
        <w:t>Prior to account approval, proposed social media managers must undergo social media training as provided by the Office of Communications.</w:t>
      </w:r>
    </w:p>
    <w:p w14:paraId="65A2A7BE" w14:textId="77777777" w:rsidR="00CD7E23" w:rsidRDefault="0081355B">
      <w:pPr>
        <w:pStyle w:val="ListParagraph"/>
        <w:numPr>
          <w:ilvl w:val="0"/>
          <w:numId w:val="7"/>
        </w:numPr>
        <w:spacing w:after="160" w:line="254" w:lineRule="auto"/>
        <w:jc w:val="both"/>
        <w:rPr>
          <w:rFonts w:ascii="Times New Roman" w:hAnsi="Times New Roman"/>
        </w:rPr>
      </w:pPr>
      <w:r>
        <w:rPr>
          <w:rFonts w:ascii="Times New Roman" w:hAnsi="Times New Roman"/>
        </w:rPr>
        <w:t>Employees may not use social media for personal reasons during work time.</w:t>
      </w:r>
    </w:p>
    <w:p w14:paraId="2C0A00B6" w14:textId="77777777" w:rsidR="00CD7E23" w:rsidRDefault="00CD7E23">
      <w:pPr>
        <w:spacing w:after="160" w:line="254" w:lineRule="auto"/>
        <w:jc w:val="both"/>
        <w:rPr>
          <w:rFonts w:ascii="Calibri" w:eastAsia="Calibri" w:hAnsi="Calibri"/>
          <w:sz w:val="22"/>
          <w:szCs w:val="22"/>
        </w:rPr>
      </w:pPr>
    </w:p>
    <w:p w14:paraId="16CA140C" w14:textId="77777777" w:rsidR="00CD7E23" w:rsidRDefault="00CD7E23">
      <w:pPr>
        <w:pStyle w:val="ListParagraph"/>
        <w:spacing w:after="0" w:line="240" w:lineRule="auto"/>
        <w:ind w:left="0"/>
        <w:contextualSpacing w:val="0"/>
        <w:rPr>
          <w:rFonts w:cs="Calibri"/>
        </w:rPr>
      </w:pPr>
    </w:p>
    <w:p w14:paraId="616FC03D" w14:textId="77777777" w:rsidR="00CD7E23" w:rsidRDefault="0081355B">
      <w:pPr>
        <w:pStyle w:val="ListParagraph"/>
        <w:spacing w:after="0" w:line="240" w:lineRule="auto"/>
        <w:ind w:left="0"/>
        <w:contextualSpacing w:val="0"/>
        <w:rPr>
          <w:rFonts w:cs="Calibri"/>
        </w:rPr>
      </w:pPr>
      <w:r>
        <w:rPr>
          <w:rFonts w:cs="Calibri"/>
        </w:rPr>
        <w:t>APPROVED:</w:t>
      </w:r>
    </w:p>
    <w:p w14:paraId="172EC0A0" w14:textId="77777777" w:rsidR="00CD7E23" w:rsidRDefault="00CD7E23">
      <w:pPr>
        <w:spacing w:after="120"/>
        <w:rPr>
          <w:rFonts w:ascii="Calibri" w:hAnsi="Calibri" w:cs="Calibri"/>
        </w:rPr>
      </w:pPr>
    </w:p>
    <w:p w14:paraId="77A07324" w14:textId="77777777" w:rsidR="00CD7E23" w:rsidRDefault="0081355B">
      <w:pPr>
        <w:pStyle w:val="ListParagraph"/>
        <w:spacing w:after="0" w:line="240" w:lineRule="auto"/>
        <w:ind w:left="0"/>
        <w:contextualSpacing w:val="0"/>
        <w:rPr>
          <w:rFonts w:cs="Calibri"/>
        </w:rPr>
      </w:pPr>
      <w:r>
        <w:rPr>
          <w:rFonts w:cs="Calibri"/>
        </w:rPr>
        <w:t>_______________________________________________</w:t>
      </w:r>
      <w:r>
        <w:rPr>
          <w:rFonts w:cs="Calibri"/>
        </w:rPr>
        <w:tab/>
      </w:r>
      <w:r>
        <w:rPr>
          <w:rFonts w:cs="Calibri"/>
        </w:rPr>
        <w:tab/>
        <w:t>__________________________</w:t>
      </w:r>
    </w:p>
    <w:p w14:paraId="616E350C" w14:textId="77777777" w:rsidR="00CD7E23" w:rsidRDefault="00CD7E23">
      <w:pPr>
        <w:rPr>
          <w:rFonts w:ascii="Calibri" w:hAnsi="Calibri" w:cs="Calibri"/>
        </w:rPr>
      </w:pPr>
    </w:p>
    <w:p w14:paraId="5BF5E8B2" w14:textId="77777777" w:rsidR="00057757" w:rsidRDefault="00057757">
      <w:pPr>
        <w:sectPr w:rsidR="00057757">
          <w:type w:val="continuous"/>
          <w:pgSz w:w="12240" w:h="15840"/>
          <w:pgMar w:top="720" w:right="1152" w:bottom="720" w:left="1440" w:header="360" w:footer="141" w:gutter="0"/>
          <w:cols w:space="720"/>
          <w:titlePg/>
        </w:sectPr>
      </w:pPr>
    </w:p>
    <w:p w14:paraId="03ECDE9E" w14:textId="77777777" w:rsidR="00CD7E23" w:rsidRDefault="0081355B">
      <w:pPr>
        <w:jc w:val="center"/>
        <w:rPr>
          <w:rFonts w:ascii="Calibri" w:hAnsi="Calibri" w:cs="Calibri"/>
          <w:b/>
          <w:sz w:val="28"/>
          <w:szCs w:val="28"/>
        </w:rPr>
      </w:pPr>
      <w:r>
        <w:rPr>
          <w:rFonts w:ascii="Calibri" w:hAnsi="Calibri" w:cs="Calibri"/>
          <w:b/>
          <w:sz w:val="28"/>
          <w:szCs w:val="28"/>
        </w:rPr>
        <w:lastRenderedPageBreak/>
        <w:t>POLICY REVIEW FORM</w:t>
      </w:r>
    </w:p>
    <w:p w14:paraId="312500BB" w14:textId="77777777" w:rsidR="00CD7E23" w:rsidRDefault="00CD7E23">
      <w:pPr>
        <w:jc w:val="center"/>
        <w:rPr>
          <w:rFonts w:ascii="Calibri" w:hAnsi="Calibri" w:cs="Calibri"/>
          <w:b/>
          <w:sz w:val="28"/>
          <w:szCs w:val="28"/>
        </w:rPr>
      </w:pPr>
    </w:p>
    <w:p w14:paraId="7399DBA6" w14:textId="77777777" w:rsidR="00CD7E23" w:rsidRDefault="0081355B">
      <w:pPr>
        <w:rPr>
          <w:rFonts w:ascii="Calibri" w:hAnsi="Calibri" w:cs="Calibri"/>
          <w:bCs/>
          <w:sz w:val="22"/>
          <w:szCs w:val="22"/>
        </w:rPr>
      </w:pPr>
      <w:r>
        <w:rPr>
          <w:rFonts w:ascii="Calibri" w:hAnsi="Calibri" w:cs="Calibri"/>
          <w:bCs/>
          <w:sz w:val="22"/>
          <w:szCs w:val="22"/>
        </w:rPr>
        <w:t>Note:  If a policy is more than three (3) years old, it must be reviewed and documented on this form.</w:t>
      </w:r>
    </w:p>
    <w:p w14:paraId="708C67B6" w14:textId="77777777" w:rsidR="00CD7E23" w:rsidRDefault="00CD7E23">
      <w:pPr>
        <w:rPr>
          <w:rFonts w:ascii="Calibri" w:hAnsi="Calibri" w:cs="Calibri"/>
          <w:b/>
          <w:sz w:val="28"/>
        </w:rPr>
      </w:pPr>
    </w:p>
    <w:p w14:paraId="5573AD6C" w14:textId="77777777" w:rsidR="00CD7E23" w:rsidRDefault="0081355B">
      <w:r>
        <w:rPr>
          <w:rFonts w:ascii="Calibri" w:hAnsi="Calibri" w:cs="Calibri"/>
          <w:b/>
          <w:sz w:val="28"/>
        </w:rPr>
        <w:t xml:space="preserve">POLICY NAME: </w:t>
      </w:r>
      <w:r>
        <w:rPr>
          <w:rFonts w:ascii="Calibri" w:hAnsi="Calibri" w:cs="Calibri"/>
          <w:sz w:val="28"/>
        </w:rPr>
        <w:t>________________________________________________________</w:t>
      </w:r>
    </w:p>
    <w:p w14:paraId="51D0EF43" w14:textId="77777777" w:rsidR="00CD7E23" w:rsidRDefault="00CD7E23">
      <w:pPr>
        <w:rPr>
          <w:rFonts w:ascii="Calibri" w:hAnsi="Calibri" w:cs="Calibri"/>
          <w:sz w:val="28"/>
        </w:rPr>
      </w:pPr>
    </w:p>
    <w:tbl>
      <w:tblPr>
        <w:tblW w:w="9628" w:type="dxa"/>
        <w:tblCellMar>
          <w:left w:w="10" w:type="dxa"/>
          <w:right w:w="10" w:type="dxa"/>
        </w:tblCellMar>
        <w:tblLook w:val="04A0" w:firstRow="1" w:lastRow="0" w:firstColumn="1" w:lastColumn="0" w:noHBand="0" w:noVBand="1"/>
      </w:tblPr>
      <w:tblGrid>
        <w:gridCol w:w="2978"/>
        <w:gridCol w:w="2996"/>
        <w:gridCol w:w="2380"/>
        <w:gridCol w:w="1274"/>
      </w:tblGrid>
      <w:tr w:rsidR="00CD7E23" w14:paraId="19469628" w14:textId="77777777">
        <w:tc>
          <w:tcPr>
            <w:tcW w:w="5974" w:type="dxa"/>
            <w:gridSpan w:val="2"/>
            <w:tcBorders>
              <w:top w:val="single" w:sz="8" w:space="0" w:color="000000"/>
              <w:left w:val="single" w:sz="8" w:space="0" w:color="000000"/>
              <w:bottom w:val="single" w:sz="8" w:space="0" w:color="FFFFFF"/>
              <w:right w:val="single" w:sz="8" w:space="0" w:color="FFFFFF"/>
            </w:tcBorders>
            <w:shd w:val="clear" w:color="auto" w:fill="595959"/>
            <w:tcMar>
              <w:top w:w="0" w:type="dxa"/>
              <w:left w:w="108" w:type="dxa"/>
              <w:bottom w:w="0" w:type="dxa"/>
              <w:right w:w="108" w:type="dxa"/>
            </w:tcMar>
          </w:tcPr>
          <w:p w14:paraId="5777ADD0" w14:textId="77777777" w:rsidR="00CD7E23" w:rsidRDefault="0081355B">
            <w:pPr>
              <w:tabs>
                <w:tab w:val="left" w:pos="3705"/>
              </w:tabs>
              <w:jc w:val="center"/>
              <w:rPr>
                <w:rFonts w:ascii="Calibri" w:hAnsi="Calibri" w:cs="Calibri"/>
                <w:b/>
                <w:color w:val="FFFFFF"/>
                <w:sz w:val="28"/>
              </w:rPr>
            </w:pPr>
            <w:r>
              <w:rPr>
                <w:rFonts w:ascii="Calibri" w:hAnsi="Calibri" w:cs="Calibri"/>
                <w:b/>
                <w:color w:val="FFFFFF"/>
                <w:sz w:val="28"/>
              </w:rPr>
              <w:t>Reviewed By:</w:t>
            </w:r>
          </w:p>
        </w:tc>
        <w:tc>
          <w:tcPr>
            <w:tcW w:w="2380" w:type="dxa"/>
            <w:vMerge w:val="restart"/>
            <w:tcBorders>
              <w:top w:val="single" w:sz="8" w:space="0" w:color="000000"/>
              <w:left w:val="single" w:sz="8" w:space="0" w:color="FFFFFF"/>
              <w:bottom w:val="single" w:sz="8" w:space="0" w:color="000000"/>
              <w:right w:val="single" w:sz="8" w:space="0" w:color="FFFFFF"/>
            </w:tcBorders>
            <w:shd w:val="clear" w:color="auto" w:fill="595959"/>
            <w:tcMar>
              <w:top w:w="0" w:type="dxa"/>
              <w:left w:w="108" w:type="dxa"/>
              <w:bottom w:w="0" w:type="dxa"/>
              <w:right w:w="108" w:type="dxa"/>
            </w:tcMar>
            <w:vAlign w:val="bottom"/>
          </w:tcPr>
          <w:p w14:paraId="2553E18D" w14:textId="77777777" w:rsidR="00CD7E23" w:rsidRDefault="0081355B">
            <w:pPr>
              <w:tabs>
                <w:tab w:val="left" w:pos="3705"/>
              </w:tabs>
              <w:jc w:val="center"/>
              <w:rPr>
                <w:rFonts w:ascii="Calibri" w:hAnsi="Calibri" w:cs="Calibri"/>
                <w:b/>
                <w:color w:val="FFFFFF"/>
                <w:sz w:val="28"/>
              </w:rPr>
            </w:pPr>
            <w:r>
              <w:rPr>
                <w:rFonts w:ascii="Calibri" w:hAnsi="Calibri" w:cs="Calibri"/>
                <w:b/>
                <w:color w:val="FFFFFF"/>
                <w:sz w:val="28"/>
              </w:rPr>
              <w:t>Position:</w:t>
            </w:r>
          </w:p>
        </w:tc>
        <w:tc>
          <w:tcPr>
            <w:tcW w:w="1274" w:type="dxa"/>
            <w:vMerge w:val="restart"/>
            <w:tcBorders>
              <w:top w:val="single" w:sz="8" w:space="0" w:color="000000"/>
              <w:left w:val="single" w:sz="8" w:space="0" w:color="FFFFFF"/>
              <w:bottom w:val="single" w:sz="8" w:space="0" w:color="000000"/>
              <w:right w:val="single" w:sz="8" w:space="0" w:color="000000"/>
            </w:tcBorders>
            <w:shd w:val="clear" w:color="auto" w:fill="595959"/>
            <w:tcMar>
              <w:top w:w="0" w:type="dxa"/>
              <w:left w:w="108" w:type="dxa"/>
              <w:bottom w:w="0" w:type="dxa"/>
              <w:right w:w="108" w:type="dxa"/>
            </w:tcMar>
            <w:vAlign w:val="bottom"/>
          </w:tcPr>
          <w:p w14:paraId="1E00A1A9" w14:textId="77777777" w:rsidR="00CD7E23" w:rsidRDefault="0081355B">
            <w:pPr>
              <w:tabs>
                <w:tab w:val="left" w:pos="3705"/>
              </w:tabs>
              <w:jc w:val="center"/>
              <w:rPr>
                <w:rFonts w:ascii="Calibri" w:hAnsi="Calibri" w:cs="Calibri"/>
                <w:b/>
                <w:color w:val="FFFFFF"/>
                <w:sz w:val="28"/>
              </w:rPr>
            </w:pPr>
            <w:r>
              <w:rPr>
                <w:rFonts w:ascii="Calibri" w:hAnsi="Calibri" w:cs="Calibri"/>
                <w:b/>
                <w:color w:val="FFFFFF"/>
                <w:sz w:val="28"/>
              </w:rPr>
              <w:t>Date</w:t>
            </w:r>
          </w:p>
        </w:tc>
      </w:tr>
      <w:tr w:rsidR="00CD7E23" w14:paraId="4E8593A0" w14:textId="77777777">
        <w:tc>
          <w:tcPr>
            <w:tcW w:w="2978" w:type="dxa"/>
            <w:tcBorders>
              <w:top w:val="single" w:sz="8" w:space="0" w:color="FFFFFF"/>
              <w:left w:val="single" w:sz="8" w:space="0" w:color="000000"/>
              <w:bottom w:val="single" w:sz="8" w:space="0" w:color="000000"/>
              <w:right w:val="single" w:sz="8" w:space="0" w:color="FFFFFF"/>
            </w:tcBorders>
            <w:shd w:val="clear" w:color="auto" w:fill="595959"/>
            <w:tcMar>
              <w:top w:w="0" w:type="dxa"/>
              <w:left w:w="108" w:type="dxa"/>
              <w:bottom w:w="0" w:type="dxa"/>
              <w:right w:w="108" w:type="dxa"/>
            </w:tcMar>
            <w:vAlign w:val="center"/>
          </w:tcPr>
          <w:p w14:paraId="43FB3421" w14:textId="77777777" w:rsidR="00CD7E23" w:rsidRDefault="0081355B">
            <w:pPr>
              <w:tabs>
                <w:tab w:val="left" w:pos="3705"/>
              </w:tabs>
              <w:jc w:val="center"/>
              <w:rPr>
                <w:rFonts w:ascii="Calibri" w:hAnsi="Calibri" w:cs="Calibri"/>
                <w:b/>
                <w:color w:val="FFFFFF"/>
                <w:sz w:val="28"/>
              </w:rPr>
            </w:pPr>
            <w:r>
              <w:rPr>
                <w:rFonts w:ascii="Calibri" w:hAnsi="Calibri" w:cs="Calibri"/>
                <w:b/>
                <w:color w:val="FFFFFF"/>
                <w:sz w:val="28"/>
              </w:rPr>
              <w:t>Print Name</w:t>
            </w:r>
          </w:p>
        </w:tc>
        <w:tc>
          <w:tcPr>
            <w:tcW w:w="2996" w:type="dxa"/>
            <w:tcBorders>
              <w:top w:val="single" w:sz="8" w:space="0" w:color="FFFFFF"/>
              <w:left w:val="single" w:sz="8" w:space="0" w:color="FFFFFF"/>
              <w:bottom w:val="single" w:sz="8" w:space="0" w:color="000000"/>
              <w:right w:val="single" w:sz="8" w:space="0" w:color="FFFFFF"/>
            </w:tcBorders>
            <w:shd w:val="clear" w:color="auto" w:fill="595959"/>
            <w:tcMar>
              <w:top w:w="0" w:type="dxa"/>
              <w:left w:w="108" w:type="dxa"/>
              <w:bottom w:w="0" w:type="dxa"/>
              <w:right w:w="108" w:type="dxa"/>
            </w:tcMar>
            <w:vAlign w:val="center"/>
          </w:tcPr>
          <w:p w14:paraId="170BA74A" w14:textId="77777777" w:rsidR="00CD7E23" w:rsidRDefault="0081355B">
            <w:pPr>
              <w:tabs>
                <w:tab w:val="left" w:pos="3705"/>
              </w:tabs>
              <w:jc w:val="center"/>
              <w:rPr>
                <w:rFonts w:ascii="Calibri" w:hAnsi="Calibri" w:cs="Calibri"/>
                <w:b/>
                <w:color w:val="FFFFFF"/>
                <w:sz w:val="28"/>
              </w:rPr>
            </w:pPr>
            <w:r>
              <w:rPr>
                <w:rFonts w:ascii="Calibri" w:hAnsi="Calibri" w:cs="Calibri"/>
                <w:b/>
                <w:color w:val="FFFFFF"/>
                <w:sz w:val="28"/>
              </w:rPr>
              <w:t>Signature</w:t>
            </w:r>
          </w:p>
        </w:tc>
        <w:tc>
          <w:tcPr>
            <w:tcW w:w="2380" w:type="dxa"/>
            <w:vMerge/>
            <w:tcBorders>
              <w:top w:val="single" w:sz="8" w:space="0" w:color="000000"/>
              <w:left w:val="single" w:sz="8" w:space="0" w:color="FFFFFF"/>
              <w:bottom w:val="single" w:sz="8" w:space="0" w:color="000000"/>
              <w:right w:val="single" w:sz="8" w:space="0" w:color="FFFFFF"/>
            </w:tcBorders>
            <w:shd w:val="clear" w:color="auto" w:fill="595959"/>
            <w:tcMar>
              <w:top w:w="0" w:type="dxa"/>
              <w:left w:w="108" w:type="dxa"/>
              <w:bottom w:w="0" w:type="dxa"/>
              <w:right w:w="108" w:type="dxa"/>
            </w:tcMar>
            <w:vAlign w:val="bottom"/>
          </w:tcPr>
          <w:p w14:paraId="351D786E" w14:textId="77777777" w:rsidR="00CD7E23" w:rsidRDefault="00CD7E23">
            <w:pPr>
              <w:tabs>
                <w:tab w:val="left" w:pos="3705"/>
              </w:tabs>
              <w:rPr>
                <w:rFonts w:ascii="Calibri" w:hAnsi="Calibri" w:cs="Calibri"/>
                <w:color w:val="FFFFFF"/>
                <w:sz w:val="28"/>
              </w:rPr>
            </w:pPr>
          </w:p>
        </w:tc>
        <w:tc>
          <w:tcPr>
            <w:tcW w:w="1274" w:type="dxa"/>
            <w:vMerge/>
            <w:tcBorders>
              <w:top w:val="single" w:sz="8" w:space="0" w:color="000000"/>
              <w:left w:val="single" w:sz="8" w:space="0" w:color="FFFFFF"/>
              <w:bottom w:val="single" w:sz="8" w:space="0" w:color="000000"/>
              <w:right w:val="single" w:sz="8" w:space="0" w:color="000000"/>
            </w:tcBorders>
            <w:shd w:val="clear" w:color="auto" w:fill="595959"/>
            <w:tcMar>
              <w:top w:w="0" w:type="dxa"/>
              <w:left w:w="108" w:type="dxa"/>
              <w:bottom w:w="0" w:type="dxa"/>
              <w:right w:w="108" w:type="dxa"/>
            </w:tcMar>
            <w:vAlign w:val="bottom"/>
          </w:tcPr>
          <w:p w14:paraId="46A1F6CB" w14:textId="77777777" w:rsidR="00CD7E23" w:rsidRDefault="00CD7E23">
            <w:pPr>
              <w:tabs>
                <w:tab w:val="left" w:pos="3705"/>
              </w:tabs>
              <w:rPr>
                <w:rFonts w:ascii="Calibri" w:hAnsi="Calibri" w:cs="Calibri"/>
                <w:color w:val="FFFFFF"/>
                <w:sz w:val="28"/>
              </w:rPr>
            </w:pPr>
          </w:p>
        </w:tc>
      </w:tr>
      <w:tr w:rsidR="00CD7E23" w14:paraId="3C14E3CD" w14:textId="77777777">
        <w:trPr>
          <w:trHeight w:val="936"/>
        </w:trPr>
        <w:tc>
          <w:tcPr>
            <w:tcW w:w="297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D3EB5" w14:textId="77777777" w:rsidR="00CD7E23" w:rsidRDefault="00CD7E23">
            <w:pPr>
              <w:tabs>
                <w:tab w:val="left" w:pos="3705"/>
              </w:tabs>
            </w:pPr>
          </w:p>
        </w:tc>
        <w:tc>
          <w:tcPr>
            <w:tcW w:w="2996"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BA0EF" w14:textId="77777777" w:rsidR="00CD7E23" w:rsidRDefault="00CD7E23">
            <w:pPr>
              <w:tabs>
                <w:tab w:val="left" w:pos="3705"/>
              </w:tabs>
            </w:pPr>
          </w:p>
        </w:tc>
        <w:tc>
          <w:tcPr>
            <w:tcW w:w="2380"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9E257" w14:textId="77777777" w:rsidR="00CD7E23" w:rsidRDefault="00CD7E23">
            <w:pPr>
              <w:tabs>
                <w:tab w:val="left" w:pos="3705"/>
              </w:tabs>
            </w:pPr>
          </w:p>
        </w:tc>
        <w:tc>
          <w:tcPr>
            <w:tcW w:w="127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D0490" w14:textId="77777777" w:rsidR="00CD7E23" w:rsidRDefault="00CD7E23">
            <w:pPr>
              <w:tabs>
                <w:tab w:val="left" w:pos="3705"/>
              </w:tabs>
            </w:pPr>
          </w:p>
        </w:tc>
      </w:tr>
      <w:tr w:rsidR="00CD7E23" w14:paraId="2911B70E" w14:textId="77777777">
        <w:trPr>
          <w:trHeight w:val="93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40100" w14:textId="77777777" w:rsidR="00CD7E23" w:rsidRDefault="00CD7E23">
            <w:pPr>
              <w:tabs>
                <w:tab w:val="left" w:pos="3705"/>
              </w:tabs>
            </w:pP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70216" w14:textId="77777777" w:rsidR="00CD7E23" w:rsidRDefault="00CD7E23">
            <w:pPr>
              <w:tabs>
                <w:tab w:val="left" w:pos="3705"/>
              </w:tabs>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802D2" w14:textId="77777777" w:rsidR="00CD7E23" w:rsidRDefault="00CD7E23">
            <w:pPr>
              <w:tabs>
                <w:tab w:val="left" w:pos="3705"/>
              </w:tabs>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123A8" w14:textId="77777777" w:rsidR="00CD7E23" w:rsidRDefault="00CD7E23">
            <w:pPr>
              <w:tabs>
                <w:tab w:val="left" w:pos="3705"/>
              </w:tabs>
            </w:pPr>
          </w:p>
        </w:tc>
      </w:tr>
      <w:tr w:rsidR="00CD7E23" w14:paraId="5A7397D6" w14:textId="77777777">
        <w:trPr>
          <w:trHeight w:val="93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85174" w14:textId="77777777" w:rsidR="00CD7E23" w:rsidRDefault="00CD7E23">
            <w:pPr>
              <w:tabs>
                <w:tab w:val="left" w:pos="3705"/>
              </w:tabs>
            </w:pP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99FE9" w14:textId="77777777" w:rsidR="00CD7E23" w:rsidRDefault="00CD7E23">
            <w:pPr>
              <w:tabs>
                <w:tab w:val="left" w:pos="3705"/>
              </w:tabs>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8A681" w14:textId="77777777" w:rsidR="00CD7E23" w:rsidRDefault="00CD7E23">
            <w:pPr>
              <w:tabs>
                <w:tab w:val="left" w:pos="3705"/>
              </w:tabs>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87C42" w14:textId="77777777" w:rsidR="00CD7E23" w:rsidRDefault="00CD7E23">
            <w:pPr>
              <w:tabs>
                <w:tab w:val="left" w:pos="3705"/>
              </w:tabs>
            </w:pPr>
          </w:p>
        </w:tc>
      </w:tr>
      <w:tr w:rsidR="00CD7E23" w14:paraId="3D60F4E6" w14:textId="77777777">
        <w:trPr>
          <w:trHeight w:val="93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4DEDC" w14:textId="77777777" w:rsidR="00CD7E23" w:rsidRDefault="00CD7E23">
            <w:pPr>
              <w:tabs>
                <w:tab w:val="left" w:pos="3705"/>
              </w:tabs>
            </w:pP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669E7" w14:textId="77777777" w:rsidR="00CD7E23" w:rsidRDefault="00CD7E23">
            <w:pPr>
              <w:tabs>
                <w:tab w:val="left" w:pos="3705"/>
              </w:tabs>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97D71" w14:textId="77777777" w:rsidR="00CD7E23" w:rsidRDefault="00CD7E23">
            <w:pPr>
              <w:tabs>
                <w:tab w:val="left" w:pos="3705"/>
              </w:tabs>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E0636" w14:textId="77777777" w:rsidR="00CD7E23" w:rsidRDefault="00CD7E23">
            <w:pPr>
              <w:tabs>
                <w:tab w:val="left" w:pos="3705"/>
              </w:tabs>
            </w:pPr>
          </w:p>
        </w:tc>
      </w:tr>
      <w:tr w:rsidR="00CD7E23" w14:paraId="77018D76" w14:textId="77777777">
        <w:trPr>
          <w:trHeight w:val="93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FE6A2" w14:textId="77777777" w:rsidR="00CD7E23" w:rsidRDefault="00CD7E23">
            <w:pPr>
              <w:tabs>
                <w:tab w:val="left" w:pos="3705"/>
              </w:tabs>
            </w:pP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FAED7" w14:textId="77777777" w:rsidR="00CD7E23" w:rsidRDefault="00CD7E23">
            <w:pPr>
              <w:tabs>
                <w:tab w:val="left" w:pos="3705"/>
              </w:tabs>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4DB8" w14:textId="77777777" w:rsidR="00CD7E23" w:rsidRDefault="00CD7E23">
            <w:pPr>
              <w:tabs>
                <w:tab w:val="left" w:pos="3705"/>
              </w:tabs>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36A1" w14:textId="77777777" w:rsidR="00CD7E23" w:rsidRDefault="00CD7E23">
            <w:pPr>
              <w:tabs>
                <w:tab w:val="left" w:pos="3705"/>
              </w:tabs>
            </w:pPr>
          </w:p>
        </w:tc>
      </w:tr>
      <w:tr w:rsidR="00CD7E23" w14:paraId="03C20B9F" w14:textId="77777777">
        <w:trPr>
          <w:trHeight w:val="93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CE9F2" w14:textId="77777777" w:rsidR="00CD7E23" w:rsidRDefault="00CD7E23">
            <w:pPr>
              <w:tabs>
                <w:tab w:val="left" w:pos="3705"/>
              </w:tabs>
            </w:pP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7A8FA" w14:textId="77777777" w:rsidR="00CD7E23" w:rsidRDefault="00CD7E23">
            <w:pPr>
              <w:tabs>
                <w:tab w:val="left" w:pos="3705"/>
              </w:tabs>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A6446" w14:textId="77777777" w:rsidR="00CD7E23" w:rsidRDefault="00CD7E23">
            <w:pPr>
              <w:tabs>
                <w:tab w:val="left" w:pos="3705"/>
              </w:tabs>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5A906" w14:textId="77777777" w:rsidR="00CD7E23" w:rsidRDefault="00CD7E23">
            <w:pPr>
              <w:tabs>
                <w:tab w:val="left" w:pos="3705"/>
              </w:tabs>
            </w:pPr>
          </w:p>
        </w:tc>
      </w:tr>
      <w:tr w:rsidR="00CD7E23" w14:paraId="7A434D59" w14:textId="77777777">
        <w:trPr>
          <w:trHeight w:val="93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48E54" w14:textId="77777777" w:rsidR="00CD7E23" w:rsidRDefault="00CD7E23">
            <w:pPr>
              <w:tabs>
                <w:tab w:val="left" w:pos="3705"/>
              </w:tabs>
            </w:pP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515DD" w14:textId="77777777" w:rsidR="00CD7E23" w:rsidRDefault="00CD7E23">
            <w:pPr>
              <w:tabs>
                <w:tab w:val="left" w:pos="3705"/>
              </w:tabs>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4A7F5" w14:textId="77777777" w:rsidR="00CD7E23" w:rsidRDefault="00CD7E23">
            <w:pPr>
              <w:tabs>
                <w:tab w:val="left" w:pos="3705"/>
              </w:tabs>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58B1" w14:textId="77777777" w:rsidR="00CD7E23" w:rsidRDefault="00CD7E23">
            <w:pPr>
              <w:tabs>
                <w:tab w:val="left" w:pos="3705"/>
              </w:tabs>
            </w:pPr>
          </w:p>
        </w:tc>
      </w:tr>
      <w:tr w:rsidR="00CD7E23" w14:paraId="5F6F5460" w14:textId="77777777">
        <w:trPr>
          <w:trHeight w:val="93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B4161" w14:textId="77777777" w:rsidR="00CD7E23" w:rsidRDefault="00CD7E23">
            <w:pPr>
              <w:tabs>
                <w:tab w:val="left" w:pos="3705"/>
              </w:tabs>
            </w:pP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7C508" w14:textId="77777777" w:rsidR="00CD7E23" w:rsidRDefault="00CD7E23">
            <w:pPr>
              <w:tabs>
                <w:tab w:val="left" w:pos="3705"/>
              </w:tabs>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EB6D9" w14:textId="77777777" w:rsidR="00CD7E23" w:rsidRDefault="00CD7E23">
            <w:pPr>
              <w:tabs>
                <w:tab w:val="left" w:pos="3705"/>
              </w:tabs>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985D0" w14:textId="77777777" w:rsidR="00CD7E23" w:rsidRDefault="00CD7E23">
            <w:pPr>
              <w:tabs>
                <w:tab w:val="left" w:pos="3705"/>
              </w:tabs>
            </w:pPr>
          </w:p>
        </w:tc>
      </w:tr>
      <w:tr w:rsidR="00CD7E23" w14:paraId="391B87E3" w14:textId="77777777">
        <w:trPr>
          <w:trHeight w:val="93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4E295" w14:textId="77777777" w:rsidR="00CD7E23" w:rsidRDefault="00CD7E23">
            <w:pPr>
              <w:tabs>
                <w:tab w:val="left" w:pos="3705"/>
              </w:tabs>
            </w:pP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543B2" w14:textId="77777777" w:rsidR="00CD7E23" w:rsidRDefault="00CD7E23">
            <w:pPr>
              <w:tabs>
                <w:tab w:val="left" w:pos="3705"/>
              </w:tabs>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EE23" w14:textId="77777777" w:rsidR="00CD7E23" w:rsidRDefault="00CD7E23">
            <w:pPr>
              <w:tabs>
                <w:tab w:val="left" w:pos="3705"/>
              </w:tabs>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692D3" w14:textId="77777777" w:rsidR="00CD7E23" w:rsidRDefault="00CD7E23">
            <w:pPr>
              <w:tabs>
                <w:tab w:val="left" w:pos="3705"/>
              </w:tabs>
            </w:pPr>
          </w:p>
        </w:tc>
      </w:tr>
      <w:tr w:rsidR="00CD7E23" w14:paraId="6A5586CE" w14:textId="77777777">
        <w:trPr>
          <w:trHeight w:val="93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8E422" w14:textId="77777777" w:rsidR="00CD7E23" w:rsidRDefault="00CD7E23">
            <w:pPr>
              <w:tabs>
                <w:tab w:val="left" w:pos="3705"/>
              </w:tabs>
            </w:pP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CFEE" w14:textId="77777777" w:rsidR="00CD7E23" w:rsidRDefault="00CD7E23">
            <w:pPr>
              <w:tabs>
                <w:tab w:val="left" w:pos="3705"/>
              </w:tabs>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9C6BC" w14:textId="77777777" w:rsidR="00CD7E23" w:rsidRDefault="00CD7E23">
            <w:pPr>
              <w:tabs>
                <w:tab w:val="left" w:pos="3705"/>
              </w:tabs>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9FC02" w14:textId="77777777" w:rsidR="00CD7E23" w:rsidRDefault="00CD7E23">
            <w:pPr>
              <w:tabs>
                <w:tab w:val="left" w:pos="3705"/>
              </w:tabs>
            </w:pPr>
          </w:p>
        </w:tc>
      </w:tr>
      <w:tr w:rsidR="00CD7E23" w14:paraId="326089C6" w14:textId="77777777">
        <w:trPr>
          <w:trHeight w:val="93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181DF" w14:textId="77777777" w:rsidR="00CD7E23" w:rsidRDefault="00CD7E23">
            <w:pPr>
              <w:tabs>
                <w:tab w:val="left" w:pos="3705"/>
              </w:tabs>
            </w:pP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03D94" w14:textId="77777777" w:rsidR="00CD7E23" w:rsidRDefault="00CD7E23">
            <w:pPr>
              <w:tabs>
                <w:tab w:val="left" w:pos="3705"/>
              </w:tabs>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70A17" w14:textId="77777777" w:rsidR="00CD7E23" w:rsidRDefault="00CD7E23">
            <w:pPr>
              <w:tabs>
                <w:tab w:val="left" w:pos="3705"/>
              </w:tabs>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AFE73" w14:textId="77777777" w:rsidR="00CD7E23" w:rsidRDefault="00CD7E23">
            <w:pPr>
              <w:tabs>
                <w:tab w:val="left" w:pos="3705"/>
              </w:tabs>
            </w:pPr>
          </w:p>
        </w:tc>
      </w:tr>
      <w:tr w:rsidR="00CD7E23" w14:paraId="63EEA403" w14:textId="77777777">
        <w:trPr>
          <w:trHeight w:val="93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23E7B" w14:textId="77777777" w:rsidR="00CD7E23" w:rsidRDefault="00CD7E23">
            <w:pPr>
              <w:tabs>
                <w:tab w:val="left" w:pos="3705"/>
              </w:tabs>
            </w:pP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CE72" w14:textId="77777777" w:rsidR="00CD7E23" w:rsidRDefault="00CD7E23">
            <w:pPr>
              <w:tabs>
                <w:tab w:val="left" w:pos="3705"/>
              </w:tabs>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DC7B" w14:textId="77777777" w:rsidR="00CD7E23" w:rsidRDefault="00CD7E23">
            <w:pPr>
              <w:tabs>
                <w:tab w:val="left" w:pos="3705"/>
              </w:tabs>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3833" w14:textId="77777777" w:rsidR="00CD7E23" w:rsidRDefault="00CD7E23">
            <w:pPr>
              <w:tabs>
                <w:tab w:val="left" w:pos="3705"/>
              </w:tabs>
            </w:pPr>
          </w:p>
        </w:tc>
      </w:tr>
    </w:tbl>
    <w:p w14:paraId="5516FCBA" w14:textId="77777777" w:rsidR="00CD7E23" w:rsidRDefault="00CD7E23">
      <w:pPr>
        <w:tabs>
          <w:tab w:val="left" w:pos="3705"/>
        </w:tabs>
      </w:pPr>
    </w:p>
    <w:p w14:paraId="6DEA4C27" w14:textId="77777777" w:rsidR="00CD7E23" w:rsidRDefault="00CD7E23"/>
    <w:sectPr w:rsidR="00CD7E23">
      <w:footerReference w:type="default" r:id="rId10"/>
      <w:footerReference w:type="first" r:id="rId11"/>
      <w:pgSz w:w="12240" w:h="15840"/>
      <w:pgMar w:top="720" w:right="1152"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8585" w14:textId="77777777" w:rsidR="0036109C" w:rsidRDefault="0036109C">
      <w:r>
        <w:separator/>
      </w:r>
    </w:p>
  </w:endnote>
  <w:endnote w:type="continuationSeparator" w:id="0">
    <w:p w14:paraId="67A386D3" w14:textId="77777777" w:rsidR="0036109C" w:rsidRDefault="0036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CellMar>
        <w:left w:w="10" w:type="dxa"/>
        <w:right w:w="10" w:type="dxa"/>
      </w:tblCellMar>
      <w:tblLook w:val="04A0" w:firstRow="1" w:lastRow="0" w:firstColumn="1" w:lastColumn="0" w:noHBand="0" w:noVBand="1"/>
    </w:tblPr>
    <w:tblGrid>
      <w:gridCol w:w="3528"/>
      <w:gridCol w:w="2856"/>
      <w:gridCol w:w="3444"/>
    </w:tblGrid>
    <w:tr w:rsidR="00F8176B" w14:paraId="0DDD585B" w14:textId="77777777">
      <w:trPr>
        <w:trHeight w:val="171"/>
      </w:trPr>
      <w:tc>
        <w:tcPr>
          <w:tcW w:w="3528" w:type="dxa"/>
          <w:tcBorders>
            <w:top w:val="single" w:sz="12" w:space="0" w:color="000000"/>
          </w:tcBorders>
          <w:shd w:val="clear" w:color="auto" w:fill="auto"/>
          <w:tcMar>
            <w:top w:w="0" w:type="dxa"/>
            <w:left w:w="108" w:type="dxa"/>
            <w:bottom w:w="0" w:type="dxa"/>
            <w:right w:w="108" w:type="dxa"/>
          </w:tcMar>
        </w:tcPr>
        <w:p w14:paraId="66AF0473" w14:textId="77777777" w:rsidR="00F8176B" w:rsidRDefault="0081355B">
          <w:pPr>
            <w:pStyle w:val="Footer"/>
            <w:spacing w:before="60"/>
            <w:ind w:left="90"/>
            <w:rPr>
              <w:rFonts w:ascii="Palatino Linotype" w:hAnsi="Palatino Linotype"/>
              <w:sz w:val="16"/>
              <w:szCs w:val="16"/>
            </w:rPr>
          </w:pPr>
          <w:r>
            <w:rPr>
              <w:rFonts w:ascii="Palatino Linotype" w:hAnsi="Palatino Linotype"/>
              <w:sz w:val="16"/>
              <w:szCs w:val="16"/>
            </w:rPr>
            <w:t>PGCHD Policy</w:t>
          </w:r>
        </w:p>
      </w:tc>
      <w:tc>
        <w:tcPr>
          <w:tcW w:w="2856" w:type="dxa"/>
          <w:tcBorders>
            <w:top w:val="single" w:sz="12" w:space="0" w:color="000000"/>
          </w:tcBorders>
          <w:shd w:val="clear" w:color="auto" w:fill="auto"/>
          <w:tcMar>
            <w:top w:w="0" w:type="dxa"/>
            <w:left w:w="108" w:type="dxa"/>
            <w:bottom w:w="0" w:type="dxa"/>
            <w:right w:w="108" w:type="dxa"/>
          </w:tcMar>
        </w:tcPr>
        <w:p w14:paraId="634A8D70" w14:textId="77777777" w:rsidR="00F8176B" w:rsidRDefault="0081355B">
          <w:pPr>
            <w:pStyle w:val="Footer"/>
            <w:spacing w:before="60"/>
            <w:jc w:val="center"/>
          </w:pPr>
          <w:r>
            <w:rPr>
              <w:rFonts w:ascii="Palatino Linotype" w:hAnsi="Palatino Linotype"/>
              <w:sz w:val="16"/>
              <w:szCs w:val="16"/>
            </w:rPr>
            <w:t xml:space="preserve">Page </w:t>
          </w:r>
          <w:r>
            <w:rPr>
              <w:rStyle w:val="PageNumber"/>
              <w:rFonts w:ascii="Palatino Linotype" w:hAnsi="Palatino Linotype"/>
              <w:sz w:val="16"/>
              <w:szCs w:val="16"/>
            </w:rPr>
            <w:fldChar w:fldCharType="begin"/>
          </w:r>
          <w:r>
            <w:rPr>
              <w:rStyle w:val="PageNumber"/>
              <w:rFonts w:ascii="Palatino Linotype" w:hAnsi="Palatino Linotype"/>
              <w:sz w:val="16"/>
              <w:szCs w:val="16"/>
            </w:rPr>
            <w:instrText xml:space="preserve"> PAGE </w:instrText>
          </w:r>
          <w:r>
            <w:rPr>
              <w:rStyle w:val="PageNumber"/>
              <w:rFonts w:ascii="Palatino Linotype" w:hAnsi="Palatino Linotype"/>
              <w:sz w:val="16"/>
              <w:szCs w:val="16"/>
            </w:rPr>
            <w:fldChar w:fldCharType="separate"/>
          </w:r>
          <w:r>
            <w:rPr>
              <w:rStyle w:val="PageNumber"/>
              <w:rFonts w:ascii="Palatino Linotype" w:hAnsi="Palatino Linotype"/>
              <w:sz w:val="16"/>
              <w:szCs w:val="16"/>
            </w:rPr>
            <w:t>2</w:t>
          </w:r>
          <w:r>
            <w:rPr>
              <w:rStyle w:val="PageNumber"/>
              <w:rFonts w:ascii="Palatino Linotype" w:hAnsi="Palatino Linotype"/>
              <w:sz w:val="16"/>
              <w:szCs w:val="16"/>
            </w:rPr>
            <w:fldChar w:fldCharType="end"/>
          </w:r>
          <w:r>
            <w:rPr>
              <w:rStyle w:val="PageNumber"/>
              <w:rFonts w:ascii="Palatino Linotype" w:hAnsi="Palatino Linotype"/>
              <w:sz w:val="16"/>
              <w:szCs w:val="16"/>
            </w:rPr>
            <w:t xml:space="preserve"> of </w:t>
          </w:r>
          <w:r>
            <w:rPr>
              <w:rStyle w:val="PageNumber"/>
              <w:rFonts w:ascii="Palatino Linotype" w:hAnsi="Palatino Linotype"/>
              <w:sz w:val="16"/>
              <w:szCs w:val="16"/>
            </w:rPr>
            <w:fldChar w:fldCharType="begin"/>
          </w:r>
          <w:r>
            <w:rPr>
              <w:rStyle w:val="PageNumber"/>
              <w:rFonts w:ascii="Palatino Linotype" w:hAnsi="Palatino Linotype"/>
              <w:sz w:val="16"/>
              <w:szCs w:val="16"/>
            </w:rPr>
            <w:instrText xml:space="preserve"> NUMPAGES </w:instrText>
          </w:r>
          <w:r>
            <w:rPr>
              <w:rStyle w:val="PageNumber"/>
              <w:rFonts w:ascii="Palatino Linotype" w:hAnsi="Palatino Linotype"/>
              <w:sz w:val="16"/>
              <w:szCs w:val="16"/>
            </w:rPr>
            <w:fldChar w:fldCharType="separate"/>
          </w:r>
          <w:r>
            <w:rPr>
              <w:rStyle w:val="PageNumber"/>
              <w:rFonts w:ascii="Palatino Linotype" w:hAnsi="Palatino Linotype"/>
              <w:sz w:val="16"/>
              <w:szCs w:val="16"/>
            </w:rPr>
            <w:t>2</w:t>
          </w:r>
          <w:r>
            <w:rPr>
              <w:rStyle w:val="PageNumber"/>
              <w:rFonts w:ascii="Palatino Linotype" w:hAnsi="Palatino Linotype"/>
              <w:sz w:val="16"/>
              <w:szCs w:val="16"/>
            </w:rPr>
            <w:fldChar w:fldCharType="end"/>
          </w:r>
        </w:p>
      </w:tc>
      <w:tc>
        <w:tcPr>
          <w:tcW w:w="3444" w:type="dxa"/>
          <w:tcBorders>
            <w:top w:val="single" w:sz="12" w:space="0" w:color="000000"/>
          </w:tcBorders>
          <w:shd w:val="clear" w:color="auto" w:fill="auto"/>
          <w:tcMar>
            <w:top w:w="0" w:type="dxa"/>
            <w:left w:w="108" w:type="dxa"/>
            <w:bottom w:w="0" w:type="dxa"/>
            <w:right w:w="108" w:type="dxa"/>
          </w:tcMar>
        </w:tcPr>
        <w:p w14:paraId="3E20DD7A" w14:textId="77777777" w:rsidR="00F8176B" w:rsidRDefault="0081355B">
          <w:pPr>
            <w:pStyle w:val="Footer"/>
            <w:spacing w:before="60"/>
            <w:jc w:val="right"/>
            <w:rPr>
              <w:i/>
              <w:sz w:val="18"/>
              <w:szCs w:val="18"/>
            </w:rPr>
          </w:pPr>
          <w:r>
            <w:rPr>
              <w:i/>
              <w:sz w:val="18"/>
              <w:szCs w:val="18"/>
            </w:rPr>
            <w:t>Office of the Health Officer</w:t>
          </w:r>
        </w:p>
      </w:tc>
    </w:tr>
  </w:tbl>
  <w:p w14:paraId="7F935606" w14:textId="77777777" w:rsidR="00F8176B" w:rsidRDefault="00BF4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CellMar>
        <w:left w:w="10" w:type="dxa"/>
        <w:right w:w="10" w:type="dxa"/>
      </w:tblCellMar>
      <w:tblLook w:val="04A0" w:firstRow="1" w:lastRow="0" w:firstColumn="1" w:lastColumn="0" w:noHBand="0" w:noVBand="1"/>
    </w:tblPr>
    <w:tblGrid>
      <w:gridCol w:w="3528"/>
      <w:gridCol w:w="2856"/>
      <w:gridCol w:w="3444"/>
    </w:tblGrid>
    <w:tr w:rsidR="00F8176B" w14:paraId="1F1108E3" w14:textId="77777777">
      <w:trPr>
        <w:trHeight w:val="171"/>
      </w:trPr>
      <w:tc>
        <w:tcPr>
          <w:tcW w:w="3528" w:type="dxa"/>
          <w:tcBorders>
            <w:top w:val="single" w:sz="12" w:space="0" w:color="000000"/>
          </w:tcBorders>
          <w:shd w:val="clear" w:color="auto" w:fill="auto"/>
          <w:tcMar>
            <w:top w:w="0" w:type="dxa"/>
            <w:left w:w="108" w:type="dxa"/>
            <w:bottom w:w="0" w:type="dxa"/>
            <w:right w:w="108" w:type="dxa"/>
          </w:tcMar>
        </w:tcPr>
        <w:p w14:paraId="1A30B8A9" w14:textId="77777777" w:rsidR="00F8176B" w:rsidRDefault="00BF41E3">
          <w:pPr>
            <w:pStyle w:val="Footer"/>
            <w:spacing w:before="60"/>
            <w:rPr>
              <w:sz w:val="18"/>
              <w:szCs w:val="18"/>
            </w:rPr>
          </w:pPr>
        </w:p>
      </w:tc>
      <w:tc>
        <w:tcPr>
          <w:tcW w:w="2856" w:type="dxa"/>
          <w:tcBorders>
            <w:top w:val="single" w:sz="12" w:space="0" w:color="000000"/>
          </w:tcBorders>
          <w:shd w:val="clear" w:color="auto" w:fill="auto"/>
          <w:tcMar>
            <w:top w:w="0" w:type="dxa"/>
            <w:left w:w="108" w:type="dxa"/>
            <w:bottom w:w="0" w:type="dxa"/>
            <w:right w:w="108" w:type="dxa"/>
          </w:tcMar>
        </w:tcPr>
        <w:p w14:paraId="5A28E04B" w14:textId="77777777" w:rsidR="00F8176B" w:rsidRDefault="00BF41E3">
          <w:pPr>
            <w:pStyle w:val="Footer"/>
            <w:spacing w:before="60"/>
            <w:jc w:val="center"/>
            <w:rPr>
              <w:sz w:val="18"/>
              <w:szCs w:val="18"/>
            </w:rPr>
          </w:pPr>
        </w:p>
      </w:tc>
      <w:tc>
        <w:tcPr>
          <w:tcW w:w="3444" w:type="dxa"/>
          <w:tcBorders>
            <w:top w:val="single" w:sz="12" w:space="0" w:color="000000"/>
          </w:tcBorders>
          <w:shd w:val="clear" w:color="auto" w:fill="auto"/>
          <w:tcMar>
            <w:top w:w="0" w:type="dxa"/>
            <w:left w:w="108" w:type="dxa"/>
            <w:bottom w:w="0" w:type="dxa"/>
            <w:right w:w="108" w:type="dxa"/>
          </w:tcMar>
        </w:tcPr>
        <w:p w14:paraId="6D318039" w14:textId="77777777" w:rsidR="00F8176B" w:rsidRDefault="0081355B">
          <w:pPr>
            <w:pStyle w:val="Footer"/>
            <w:spacing w:before="60"/>
            <w:jc w:val="right"/>
            <w:rPr>
              <w:i/>
              <w:sz w:val="18"/>
              <w:szCs w:val="18"/>
            </w:rPr>
          </w:pPr>
          <w:r>
            <w:rPr>
              <w:i/>
              <w:sz w:val="18"/>
              <w:szCs w:val="18"/>
            </w:rPr>
            <w:t>PGCHD</w:t>
          </w:r>
        </w:p>
      </w:tc>
    </w:tr>
  </w:tbl>
  <w:p w14:paraId="6B8EC1CE" w14:textId="77777777" w:rsidR="00F8176B" w:rsidRDefault="00BF4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CellMar>
        <w:left w:w="10" w:type="dxa"/>
        <w:right w:w="10" w:type="dxa"/>
      </w:tblCellMar>
      <w:tblLook w:val="04A0" w:firstRow="1" w:lastRow="0" w:firstColumn="1" w:lastColumn="0" w:noHBand="0" w:noVBand="1"/>
    </w:tblPr>
    <w:tblGrid>
      <w:gridCol w:w="3528"/>
      <w:gridCol w:w="2856"/>
      <w:gridCol w:w="3444"/>
    </w:tblGrid>
    <w:tr w:rsidR="00F8176B" w14:paraId="6FCFC53B" w14:textId="77777777">
      <w:trPr>
        <w:trHeight w:val="171"/>
      </w:trPr>
      <w:tc>
        <w:tcPr>
          <w:tcW w:w="3528" w:type="dxa"/>
          <w:tcBorders>
            <w:top w:val="single" w:sz="12" w:space="0" w:color="000000"/>
          </w:tcBorders>
          <w:shd w:val="clear" w:color="auto" w:fill="auto"/>
          <w:tcMar>
            <w:top w:w="0" w:type="dxa"/>
            <w:left w:w="108" w:type="dxa"/>
            <w:bottom w:w="0" w:type="dxa"/>
            <w:right w:w="108" w:type="dxa"/>
          </w:tcMar>
        </w:tcPr>
        <w:p w14:paraId="530704D3" w14:textId="77777777" w:rsidR="00F8176B" w:rsidRDefault="0081355B">
          <w:pPr>
            <w:pStyle w:val="Footer"/>
            <w:spacing w:before="60"/>
            <w:ind w:left="90"/>
            <w:rPr>
              <w:rFonts w:ascii="Palatino Linotype" w:hAnsi="Palatino Linotype"/>
              <w:sz w:val="16"/>
              <w:szCs w:val="16"/>
            </w:rPr>
          </w:pPr>
          <w:r>
            <w:rPr>
              <w:rFonts w:ascii="Palatino Linotype" w:hAnsi="Palatino Linotype"/>
              <w:sz w:val="16"/>
              <w:szCs w:val="16"/>
            </w:rPr>
            <w:t>PGCHD Policy</w:t>
          </w:r>
        </w:p>
      </w:tc>
      <w:tc>
        <w:tcPr>
          <w:tcW w:w="2856" w:type="dxa"/>
          <w:tcBorders>
            <w:top w:val="single" w:sz="12" w:space="0" w:color="000000"/>
          </w:tcBorders>
          <w:shd w:val="clear" w:color="auto" w:fill="auto"/>
          <w:tcMar>
            <w:top w:w="0" w:type="dxa"/>
            <w:left w:w="108" w:type="dxa"/>
            <w:bottom w:w="0" w:type="dxa"/>
            <w:right w:w="108" w:type="dxa"/>
          </w:tcMar>
        </w:tcPr>
        <w:p w14:paraId="4F50FEB3" w14:textId="77777777" w:rsidR="00F8176B" w:rsidRDefault="0081355B">
          <w:pPr>
            <w:pStyle w:val="Footer"/>
            <w:spacing w:before="60"/>
            <w:jc w:val="center"/>
          </w:pPr>
          <w:r>
            <w:rPr>
              <w:rFonts w:ascii="Palatino Linotype" w:hAnsi="Palatino Linotype"/>
              <w:sz w:val="16"/>
              <w:szCs w:val="16"/>
            </w:rPr>
            <w:t xml:space="preserve">Page </w:t>
          </w:r>
          <w:r>
            <w:rPr>
              <w:rStyle w:val="PageNumber"/>
              <w:rFonts w:ascii="Palatino Linotype" w:hAnsi="Palatino Linotype"/>
              <w:sz w:val="16"/>
              <w:szCs w:val="16"/>
            </w:rPr>
            <w:fldChar w:fldCharType="begin"/>
          </w:r>
          <w:r>
            <w:rPr>
              <w:rStyle w:val="PageNumber"/>
              <w:rFonts w:ascii="Palatino Linotype" w:hAnsi="Palatino Linotype"/>
              <w:sz w:val="16"/>
              <w:szCs w:val="16"/>
            </w:rPr>
            <w:instrText xml:space="preserve"> PAGE </w:instrText>
          </w:r>
          <w:r>
            <w:rPr>
              <w:rStyle w:val="PageNumber"/>
              <w:rFonts w:ascii="Palatino Linotype" w:hAnsi="Palatino Linotype"/>
              <w:sz w:val="16"/>
              <w:szCs w:val="16"/>
            </w:rPr>
            <w:fldChar w:fldCharType="separate"/>
          </w:r>
          <w:r>
            <w:rPr>
              <w:rStyle w:val="PageNumber"/>
              <w:rFonts w:ascii="Palatino Linotype" w:hAnsi="Palatino Linotype"/>
              <w:sz w:val="16"/>
              <w:szCs w:val="16"/>
            </w:rPr>
            <w:t>2</w:t>
          </w:r>
          <w:r>
            <w:rPr>
              <w:rStyle w:val="PageNumber"/>
              <w:rFonts w:ascii="Palatino Linotype" w:hAnsi="Palatino Linotype"/>
              <w:sz w:val="16"/>
              <w:szCs w:val="16"/>
            </w:rPr>
            <w:fldChar w:fldCharType="end"/>
          </w:r>
          <w:r>
            <w:rPr>
              <w:rStyle w:val="PageNumber"/>
              <w:rFonts w:ascii="Palatino Linotype" w:hAnsi="Palatino Linotype"/>
              <w:sz w:val="16"/>
              <w:szCs w:val="16"/>
            </w:rPr>
            <w:t xml:space="preserve"> of </w:t>
          </w:r>
          <w:r>
            <w:rPr>
              <w:rStyle w:val="PageNumber"/>
              <w:rFonts w:ascii="Palatino Linotype" w:hAnsi="Palatino Linotype"/>
              <w:sz w:val="16"/>
              <w:szCs w:val="16"/>
            </w:rPr>
            <w:fldChar w:fldCharType="begin"/>
          </w:r>
          <w:r>
            <w:rPr>
              <w:rStyle w:val="PageNumber"/>
              <w:rFonts w:ascii="Palatino Linotype" w:hAnsi="Palatino Linotype"/>
              <w:sz w:val="16"/>
              <w:szCs w:val="16"/>
            </w:rPr>
            <w:instrText xml:space="preserve"> NUMPAGES </w:instrText>
          </w:r>
          <w:r>
            <w:rPr>
              <w:rStyle w:val="PageNumber"/>
              <w:rFonts w:ascii="Palatino Linotype" w:hAnsi="Palatino Linotype"/>
              <w:sz w:val="16"/>
              <w:szCs w:val="16"/>
            </w:rPr>
            <w:fldChar w:fldCharType="separate"/>
          </w:r>
          <w:r>
            <w:rPr>
              <w:rStyle w:val="PageNumber"/>
              <w:rFonts w:ascii="Palatino Linotype" w:hAnsi="Palatino Linotype"/>
              <w:sz w:val="16"/>
              <w:szCs w:val="16"/>
            </w:rPr>
            <w:t>2</w:t>
          </w:r>
          <w:r>
            <w:rPr>
              <w:rStyle w:val="PageNumber"/>
              <w:rFonts w:ascii="Palatino Linotype" w:hAnsi="Palatino Linotype"/>
              <w:sz w:val="16"/>
              <w:szCs w:val="16"/>
            </w:rPr>
            <w:fldChar w:fldCharType="end"/>
          </w:r>
        </w:p>
      </w:tc>
      <w:tc>
        <w:tcPr>
          <w:tcW w:w="3444" w:type="dxa"/>
          <w:tcBorders>
            <w:top w:val="single" w:sz="12" w:space="0" w:color="000000"/>
          </w:tcBorders>
          <w:shd w:val="clear" w:color="auto" w:fill="auto"/>
          <w:tcMar>
            <w:top w:w="0" w:type="dxa"/>
            <w:left w:w="108" w:type="dxa"/>
            <w:bottom w:w="0" w:type="dxa"/>
            <w:right w:w="108" w:type="dxa"/>
          </w:tcMar>
        </w:tcPr>
        <w:p w14:paraId="7147F004" w14:textId="77777777" w:rsidR="00F8176B" w:rsidRDefault="0081355B">
          <w:pPr>
            <w:pStyle w:val="Footer"/>
            <w:spacing w:before="60"/>
            <w:jc w:val="right"/>
            <w:rPr>
              <w:i/>
              <w:sz w:val="18"/>
              <w:szCs w:val="18"/>
            </w:rPr>
          </w:pPr>
          <w:r>
            <w:rPr>
              <w:i/>
              <w:sz w:val="18"/>
              <w:szCs w:val="18"/>
            </w:rPr>
            <w:t>Office of the Health Officer</w:t>
          </w:r>
        </w:p>
      </w:tc>
    </w:tr>
  </w:tbl>
  <w:p w14:paraId="10CE6B56" w14:textId="77777777" w:rsidR="00F8176B" w:rsidRDefault="00BF41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CellMar>
        <w:left w:w="10" w:type="dxa"/>
        <w:right w:w="10" w:type="dxa"/>
      </w:tblCellMar>
      <w:tblLook w:val="04A0" w:firstRow="1" w:lastRow="0" w:firstColumn="1" w:lastColumn="0" w:noHBand="0" w:noVBand="1"/>
    </w:tblPr>
    <w:tblGrid>
      <w:gridCol w:w="3528"/>
      <w:gridCol w:w="2856"/>
      <w:gridCol w:w="3444"/>
    </w:tblGrid>
    <w:tr w:rsidR="00F8176B" w14:paraId="3816C7E9" w14:textId="77777777">
      <w:trPr>
        <w:trHeight w:val="171"/>
      </w:trPr>
      <w:tc>
        <w:tcPr>
          <w:tcW w:w="3528" w:type="dxa"/>
          <w:tcBorders>
            <w:top w:val="single" w:sz="12" w:space="0" w:color="000000"/>
          </w:tcBorders>
          <w:shd w:val="clear" w:color="auto" w:fill="auto"/>
          <w:tcMar>
            <w:top w:w="0" w:type="dxa"/>
            <w:left w:w="108" w:type="dxa"/>
            <w:bottom w:w="0" w:type="dxa"/>
            <w:right w:w="108" w:type="dxa"/>
          </w:tcMar>
        </w:tcPr>
        <w:p w14:paraId="2DABCFCA" w14:textId="77777777" w:rsidR="00F8176B" w:rsidRDefault="00BF41E3">
          <w:pPr>
            <w:pStyle w:val="Footer"/>
            <w:spacing w:before="60"/>
            <w:rPr>
              <w:sz w:val="18"/>
              <w:szCs w:val="18"/>
            </w:rPr>
          </w:pPr>
        </w:p>
      </w:tc>
      <w:tc>
        <w:tcPr>
          <w:tcW w:w="2856" w:type="dxa"/>
          <w:tcBorders>
            <w:top w:val="single" w:sz="12" w:space="0" w:color="000000"/>
          </w:tcBorders>
          <w:shd w:val="clear" w:color="auto" w:fill="auto"/>
          <w:tcMar>
            <w:top w:w="0" w:type="dxa"/>
            <w:left w:w="108" w:type="dxa"/>
            <w:bottom w:w="0" w:type="dxa"/>
            <w:right w:w="108" w:type="dxa"/>
          </w:tcMar>
        </w:tcPr>
        <w:p w14:paraId="334F4FFA" w14:textId="77777777" w:rsidR="00F8176B" w:rsidRDefault="00BF41E3">
          <w:pPr>
            <w:pStyle w:val="Footer"/>
            <w:spacing w:before="60"/>
            <w:jc w:val="center"/>
            <w:rPr>
              <w:sz w:val="18"/>
              <w:szCs w:val="18"/>
            </w:rPr>
          </w:pPr>
        </w:p>
      </w:tc>
      <w:tc>
        <w:tcPr>
          <w:tcW w:w="3444" w:type="dxa"/>
          <w:tcBorders>
            <w:top w:val="single" w:sz="12" w:space="0" w:color="000000"/>
          </w:tcBorders>
          <w:shd w:val="clear" w:color="auto" w:fill="auto"/>
          <w:tcMar>
            <w:top w:w="0" w:type="dxa"/>
            <w:left w:w="108" w:type="dxa"/>
            <w:bottom w:w="0" w:type="dxa"/>
            <w:right w:w="108" w:type="dxa"/>
          </w:tcMar>
        </w:tcPr>
        <w:p w14:paraId="04BBEA43" w14:textId="77777777" w:rsidR="00F8176B" w:rsidRDefault="0081355B">
          <w:pPr>
            <w:pStyle w:val="Footer"/>
            <w:spacing w:before="60"/>
            <w:jc w:val="right"/>
            <w:rPr>
              <w:i/>
              <w:sz w:val="18"/>
              <w:szCs w:val="18"/>
            </w:rPr>
          </w:pPr>
          <w:r>
            <w:rPr>
              <w:i/>
              <w:sz w:val="18"/>
              <w:szCs w:val="18"/>
            </w:rPr>
            <w:t>PGCHD</w:t>
          </w:r>
        </w:p>
      </w:tc>
    </w:tr>
  </w:tbl>
  <w:p w14:paraId="5CFFF8A1" w14:textId="77777777" w:rsidR="00F8176B" w:rsidRDefault="00BF4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F3CD" w14:textId="77777777" w:rsidR="0036109C" w:rsidRDefault="0036109C">
      <w:r>
        <w:rPr>
          <w:color w:val="000000"/>
        </w:rPr>
        <w:separator/>
      </w:r>
    </w:p>
  </w:footnote>
  <w:footnote w:type="continuationSeparator" w:id="0">
    <w:p w14:paraId="1C179C7F" w14:textId="77777777" w:rsidR="0036109C" w:rsidRDefault="00361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6F5"/>
    <w:multiLevelType w:val="multilevel"/>
    <w:tmpl w:val="31A041C6"/>
    <w:lvl w:ilvl="0">
      <w:start w:val="1"/>
      <w:numFmt w:val="upperRoman"/>
      <w:lvlText w:val="%1."/>
      <w:lvlJc w:val="right"/>
      <w:pPr>
        <w:ind w:left="720" w:hanging="360"/>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529FC"/>
    <w:multiLevelType w:val="multilevel"/>
    <w:tmpl w:val="B832E02E"/>
    <w:lvl w:ilvl="0">
      <w:start w:val="1"/>
      <w:numFmt w:val="upperRoman"/>
      <w:lvlText w:val="%1."/>
      <w:lvlJc w:val="right"/>
      <w:pPr>
        <w:ind w:left="720" w:hanging="360"/>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BB44C2"/>
    <w:multiLevelType w:val="multilevel"/>
    <w:tmpl w:val="35EC1638"/>
    <w:lvl w:ilvl="0">
      <w:start w:val="1"/>
      <w:numFmt w:val="upperRoman"/>
      <w:lvlText w:val="%1."/>
      <w:lvlJc w:val="right"/>
      <w:pPr>
        <w:ind w:left="1080" w:hanging="720"/>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626C5F"/>
    <w:multiLevelType w:val="hybridMultilevel"/>
    <w:tmpl w:val="8B6A0C46"/>
    <w:lvl w:ilvl="0" w:tplc="8512875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F1C0735"/>
    <w:multiLevelType w:val="multilevel"/>
    <w:tmpl w:val="57F48416"/>
    <w:lvl w:ilvl="0">
      <w:start w:val="1"/>
      <w:numFmt w:val="upperRoman"/>
      <w:lvlText w:val="%1."/>
      <w:lvlJc w:val="right"/>
      <w:pPr>
        <w:ind w:left="720" w:hanging="360"/>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2B6CF2"/>
    <w:multiLevelType w:val="multilevel"/>
    <w:tmpl w:val="AC28E912"/>
    <w:lvl w:ilvl="0">
      <w:start w:val="1"/>
      <w:numFmt w:val="upperRoman"/>
      <w:lvlText w:val="%1."/>
      <w:lvlJc w:val="right"/>
      <w:pPr>
        <w:ind w:left="780" w:hanging="720"/>
      </w:pPr>
      <w:rPr>
        <w:rFonts w:ascii="Times New Roman" w:hAnsi="Times New Roman" w:cs="Times New Roman"/>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7AD80C0A"/>
    <w:multiLevelType w:val="multilevel"/>
    <w:tmpl w:val="160661EC"/>
    <w:lvl w:ilvl="0">
      <w:start w:val="1"/>
      <w:numFmt w:val="upperRoman"/>
      <w:lvlText w:val="%1."/>
      <w:lvlJc w:val="right"/>
      <w:pPr>
        <w:ind w:left="720" w:hanging="360"/>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9F37C5"/>
    <w:multiLevelType w:val="multilevel"/>
    <w:tmpl w:val="74A6A996"/>
    <w:lvl w:ilvl="0">
      <w:start w:val="1"/>
      <w:numFmt w:val="upperRoman"/>
      <w:lvlText w:val="%1."/>
      <w:lvlJc w:val="right"/>
      <w:pPr>
        <w:ind w:left="720" w:hanging="360"/>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4122899">
    <w:abstractNumId w:val="7"/>
  </w:num>
  <w:num w:numId="2" w16cid:durableId="1569804463">
    <w:abstractNumId w:val="2"/>
  </w:num>
  <w:num w:numId="3" w16cid:durableId="1884168794">
    <w:abstractNumId w:val="5"/>
  </w:num>
  <w:num w:numId="4" w16cid:durableId="646741403">
    <w:abstractNumId w:val="6"/>
  </w:num>
  <w:num w:numId="5" w16cid:durableId="1913420145">
    <w:abstractNumId w:val="1"/>
  </w:num>
  <w:num w:numId="6" w16cid:durableId="995112306">
    <w:abstractNumId w:val="0"/>
  </w:num>
  <w:num w:numId="7" w16cid:durableId="127087592">
    <w:abstractNumId w:val="4"/>
  </w:num>
  <w:num w:numId="8" w16cid:durableId="1537886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23"/>
    <w:rsid w:val="00057757"/>
    <w:rsid w:val="00233553"/>
    <w:rsid w:val="0036109C"/>
    <w:rsid w:val="00504F15"/>
    <w:rsid w:val="00532FA8"/>
    <w:rsid w:val="00537825"/>
    <w:rsid w:val="005F6BAD"/>
    <w:rsid w:val="00660FE9"/>
    <w:rsid w:val="006F595E"/>
    <w:rsid w:val="0081355B"/>
    <w:rsid w:val="00B73146"/>
    <w:rsid w:val="00CD7E23"/>
    <w:rsid w:val="00EC529C"/>
    <w:rsid w:val="00F84F3B"/>
    <w:rsid w:val="00FA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3F76"/>
  <w15:docId w15:val="{77868CC7-43B3-4876-8DFE-898B3F62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styleId="PageNumber">
    <w:name w:val="page number"/>
    <w:basedOn w:val="DefaultParagraphFont"/>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 Lindsey J.</dc:creator>
  <dc:description/>
  <cp:lastModifiedBy>Robinson, Elisabeth H.</cp:lastModifiedBy>
  <cp:revision>2</cp:revision>
  <dcterms:created xsi:type="dcterms:W3CDTF">2023-04-21T15:18:00Z</dcterms:created>
  <dcterms:modified xsi:type="dcterms:W3CDTF">2023-04-21T15:18:00Z</dcterms:modified>
</cp:coreProperties>
</file>