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A493" w14:textId="294D9532" w:rsidR="00D92A2D" w:rsidRPr="000B4514" w:rsidRDefault="00D92A2D" w:rsidP="000B4514">
      <w:pPr>
        <w:spacing w:after="160" w:line="259" w:lineRule="auto"/>
        <w:ind w:left="0" w:right="0"/>
        <w:rPr>
          <w:rFonts w:asciiTheme="minorHAnsi" w:eastAsia="Calibri" w:hAnsiTheme="minorHAnsi" w:cstheme="minorHAnsi"/>
          <w:color w:val="auto"/>
          <w:kern w:val="0"/>
          <w:sz w:val="24"/>
          <w:szCs w:val="24"/>
        </w:rPr>
      </w:pPr>
    </w:p>
    <w:p w14:paraId="281C22FA" w14:textId="510E4844" w:rsidR="00E55849" w:rsidRPr="000B4514" w:rsidRDefault="004704F8" w:rsidP="000B4514">
      <w:pPr>
        <w:spacing w:after="160"/>
        <w:ind w:left="0" w:right="0"/>
        <w:rPr>
          <w:rFonts w:asciiTheme="minorHAnsi" w:eastAsia="Calibri" w:hAnsiTheme="minorHAnsi" w:cstheme="minorHAnsi"/>
          <w:color w:val="auto"/>
          <w:kern w:val="0"/>
          <w:sz w:val="24"/>
          <w:szCs w:val="24"/>
        </w:rPr>
      </w:pPr>
      <w:r w:rsidRPr="000B4514">
        <w:rPr>
          <w:rFonts w:asciiTheme="minorHAnsi" w:eastAsia="Calibri" w:hAnsiTheme="minorHAnsi" w:cstheme="minorHAnsi"/>
          <w:color w:val="auto"/>
          <w:kern w:val="0"/>
          <w:sz w:val="24"/>
          <w:szCs w:val="24"/>
        </w:rPr>
        <w:t xml:space="preserve">March </w:t>
      </w:r>
      <w:r w:rsidR="000B4514" w:rsidRPr="000B4514">
        <w:rPr>
          <w:rFonts w:asciiTheme="minorHAnsi" w:eastAsia="Calibri" w:hAnsiTheme="minorHAnsi" w:cstheme="minorHAnsi"/>
          <w:color w:val="auto"/>
          <w:kern w:val="0"/>
          <w:sz w:val="24"/>
          <w:szCs w:val="24"/>
        </w:rPr>
        <w:t>2</w:t>
      </w:r>
      <w:r w:rsidRPr="000B4514">
        <w:rPr>
          <w:rFonts w:asciiTheme="minorHAnsi" w:eastAsia="Calibri" w:hAnsiTheme="minorHAnsi" w:cstheme="minorHAnsi"/>
          <w:color w:val="auto"/>
          <w:kern w:val="0"/>
          <w:sz w:val="24"/>
          <w:szCs w:val="24"/>
        </w:rPr>
        <w:t xml:space="preserve">7, 2023 </w:t>
      </w:r>
      <w:r w:rsidR="00E55849" w:rsidRPr="000B4514">
        <w:rPr>
          <w:rFonts w:asciiTheme="minorHAnsi" w:eastAsia="Calibri" w:hAnsiTheme="minorHAnsi" w:cstheme="minorHAnsi"/>
          <w:color w:val="auto"/>
          <w:kern w:val="0"/>
          <w:sz w:val="24"/>
          <w:szCs w:val="24"/>
        </w:rPr>
        <w:t xml:space="preserve"> </w:t>
      </w:r>
    </w:p>
    <w:p w14:paraId="2C557C65" w14:textId="0D5005AC" w:rsidR="000B4514" w:rsidRPr="000B4514" w:rsidRDefault="004704F8" w:rsidP="000B4514">
      <w:pPr>
        <w:ind w:left="0"/>
        <w:rPr>
          <w:rFonts w:asciiTheme="minorHAnsi" w:hAnsiTheme="minorHAnsi" w:cstheme="minorHAnsi"/>
          <w:sz w:val="24"/>
          <w:szCs w:val="24"/>
        </w:rPr>
      </w:pPr>
      <w:r w:rsidRPr="000B4514">
        <w:rPr>
          <w:rFonts w:asciiTheme="minorHAnsi" w:hAnsiTheme="minorHAnsi" w:cstheme="minorHAnsi"/>
          <w:sz w:val="24"/>
          <w:szCs w:val="24"/>
        </w:rPr>
        <w:t xml:space="preserve">Dear </w:t>
      </w:r>
      <w:proofErr w:type="spellStart"/>
      <w:r w:rsidR="000B4514" w:rsidRPr="000B4514">
        <w:rPr>
          <w:rFonts w:asciiTheme="minorHAnsi" w:hAnsiTheme="minorHAnsi" w:cstheme="minorHAnsi"/>
          <w:sz w:val="24"/>
          <w:szCs w:val="24"/>
        </w:rPr>
        <w:t>Muckrock</w:t>
      </w:r>
      <w:proofErr w:type="spellEnd"/>
      <w:r w:rsidR="000B4514" w:rsidRPr="000B4514">
        <w:rPr>
          <w:rFonts w:asciiTheme="minorHAnsi" w:hAnsiTheme="minorHAnsi" w:cstheme="minorHAnsi"/>
          <w:sz w:val="24"/>
          <w:szCs w:val="24"/>
        </w:rPr>
        <w:t xml:space="preserve">, </w:t>
      </w:r>
    </w:p>
    <w:p w14:paraId="51F65693" w14:textId="72641CFE" w:rsidR="000B4514" w:rsidRPr="000B4514" w:rsidRDefault="000B4514" w:rsidP="000B4514">
      <w:pPr>
        <w:ind w:left="0"/>
        <w:rPr>
          <w:rFonts w:asciiTheme="minorHAnsi" w:hAnsiTheme="minorHAnsi" w:cstheme="minorHAnsi"/>
          <w:sz w:val="24"/>
          <w:szCs w:val="24"/>
        </w:rPr>
      </w:pPr>
    </w:p>
    <w:p w14:paraId="1CC1AA4D" w14:textId="7B4258C5" w:rsidR="000B4514" w:rsidRDefault="00DB08B6" w:rsidP="000B4514">
      <w:pPr>
        <w:ind w:left="0"/>
        <w:rPr>
          <w:rFonts w:asciiTheme="minorHAnsi" w:hAnsiTheme="minorHAnsi" w:cstheme="minorHAnsi"/>
          <w:sz w:val="24"/>
          <w:szCs w:val="24"/>
        </w:rPr>
      </w:pPr>
      <w:r>
        <w:rPr>
          <w:rFonts w:asciiTheme="minorHAnsi" w:hAnsiTheme="minorHAnsi" w:cstheme="minorHAnsi"/>
          <w:sz w:val="24"/>
          <w:szCs w:val="24"/>
        </w:rPr>
        <w:t xml:space="preserve">The Montana Department of Corrections received your request regarding: </w:t>
      </w:r>
      <w:r w:rsidR="000B4514" w:rsidRPr="000B4514">
        <w:rPr>
          <w:rFonts w:asciiTheme="minorHAnsi" w:hAnsiTheme="minorHAnsi" w:cstheme="minorHAnsi"/>
          <w:sz w:val="24"/>
          <w:szCs w:val="24"/>
        </w:rPr>
        <w:t>All current policies and procedures regarding medical and room &amp; board costs or fees for which incarcerated youth (</w:t>
      </w:r>
      <w:proofErr w:type="gramStart"/>
      <w:r w:rsidR="000B4514" w:rsidRPr="000B4514">
        <w:rPr>
          <w:rFonts w:asciiTheme="minorHAnsi" w:hAnsiTheme="minorHAnsi" w:cstheme="minorHAnsi"/>
          <w:sz w:val="24"/>
          <w:szCs w:val="24"/>
        </w:rPr>
        <w:t>i.e.</w:t>
      </w:r>
      <w:proofErr w:type="gramEnd"/>
      <w:r w:rsidR="000B4514" w:rsidRPr="000B4514">
        <w:rPr>
          <w:rFonts w:asciiTheme="minorHAnsi" w:hAnsiTheme="minorHAnsi" w:cstheme="minorHAnsi"/>
          <w:sz w:val="24"/>
          <w:szCs w:val="24"/>
        </w:rPr>
        <w:t xml:space="preserve"> juvenile) and/or their parents or legal guardians are or may become liable. Please include all policies and procedures related to how fees are set, accrued, imposed, collected, and enforced (such as those related to per diem fees, ability to pay determinations, penalties for late or non-payment, authorization for civil or criminal action for payment enforcement, </w:t>
      </w:r>
      <w:proofErr w:type="spellStart"/>
      <w:r w:rsidR="000B4514" w:rsidRPr="000B4514">
        <w:rPr>
          <w:rFonts w:asciiTheme="minorHAnsi" w:hAnsiTheme="minorHAnsi" w:cstheme="minorHAnsi"/>
          <w:sz w:val="24"/>
          <w:szCs w:val="24"/>
        </w:rPr>
        <w:t>etc</w:t>
      </w:r>
      <w:proofErr w:type="spellEnd"/>
      <w:r w:rsidR="000B4514" w:rsidRPr="000B4514">
        <w:rPr>
          <w:rFonts w:asciiTheme="minorHAnsi" w:hAnsiTheme="minorHAnsi" w:cstheme="minorHAnsi"/>
          <w:sz w:val="24"/>
          <w:szCs w:val="24"/>
        </w:rPr>
        <w:t>).</w:t>
      </w:r>
    </w:p>
    <w:p w14:paraId="3B548437" w14:textId="3460F531" w:rsidR="00DB08B6" w:rsidRDefault="00DB08B6" w:rsidP="000B4514">
      <w:pPr>
        <w:ind w:left="0"/>
        <w:rPr>
          <w:rFonts w:asciiTheme="minorHAnsi" w:hAnsiTheme="minorHAnsi" w:cstheme="minorHAnsi"/>
          <w:sz w:val="24"/>
          <w:szCs w:val="24"/>
        </w:rPr>
      </w:pPr>
    </w:p>
    <w:p w14:paraId="06AB3005" w14:textId="272271D7" w:rsidR="00DB08B6" w:rsidRPr="000B4514" w:rsidRDefault="00DB08B6" w:rsidP="000B4514">
      <w:pPr>
        <w:ind w:left="0"/>
        <w:rPr>
          <w:rFonts w:asciiTheme="minorHAnsi" w:hAnsiTheme="minorHAnsi" w:cstheme="minorHAnsi"/>
          <w:sz w:val="24"/>
          <w:szCs w:val="24"/>
        </w:rPr>
      </w:pPr>
      <w:r>
        <w:rPr>
          <w:rFonts w:asciiTheme="minorHAnsi" w:hAnsiTheme="minorHAnsi" w:cstheme="minorHAnsi"/>
          <w:sz w:val="24"/>
          <w:szCs w:val="24"/>
        </w:rPr>
        <w:t>Please see our response below.</w:t>
      </w:r>
    </w:p>
    <w:p w14:paraId="4CAF042B" w14:textId="77777777" w:rsidR="000B4514" w:rsidRPr="000B4514" w:rsidRDefault="000B4514" w:rsidP="000B4514">
      <w:pPr>
        <w:ind w:left="0"/>
        <w:rPr>
          <w:rFonts w:asciiTheme="minorHAnsi" w:hAnsiTheme="minorHAnsi" w:cstheme="minorHAnsi"/>
          <w:sz w:val="24"/>
          <w:szCs w:val="24"/>
        </w:rPr>
      </w:pPr>
    </w:p>
    <w:p w14:paraId="713FD620" w14:textId="77777777" w:rsidR="000B4514" w:rsidRPr="000B4514" w:rsidRDefault="000B4514" w:rsidP="000B4514">
      <w:pPr>
        <w:ind w:left="0"/>
        <w:rPr>
          <w:rFonts w:asciiTheme="minorHAnsi" w:hAnsiTheme="minorHAnsi" w:cstheme="minorHAnsi"/>
          <w:b/>
          <w:bCs/>
          <w:sz w:val="24"/>
          <w:szCs w:val="24"/>
        </w:rPr>
      </w:pPr>
      <w:r w:rsidRPr="000B4514">
        <w:rPr>
          <w:rFonts w:asciiTheme="minorHAnsi" w:hAnsiTheme="minorHAnsi" w:cstheme="minorHAnsi"/>
          <w:b/>
          <w:bCs/>
          <w:sz w:val="24"/>
          <w:szCs w:val="24"/>
        </w:rPr>
        <w:t>Financial Services Bureau’s cost of care collection process:</w:t>
      </w:r>
    </w:p>
    <w:p w14:paraId="39066C62" w14:textId="77777777" w:rsidR="000B4514" w:rsidRPr="000B4514" w:rsidRDefault="000B4514" w:rsidP="000B4514">
      <w:pPr>
        <w:ind w:left="0"/>
        <w:rPr>
          <w:rFonts w:asciiTheme="minorHAnsi" w:hAnsiTheme="minorHAnsi" w:cstheme="minorHAnsi"/>
          <w:sz w:val="24"/>
          <w:szCs w:val="24"/>
        </w:rPr>
      </w:pPr>
    </w:p>
    <w:p w14:paraId="4678AEAA" w14:textId="30CEF48C" w:rsidR="000B4514" w:rsidRPr="000B4514" w:rsidRDefault="00DB08B6" w:rsidP="000B4514">
      <w:pPr>
        <w:ind w:left="0"/>
        <w:rPr>
          <w:rFonts w:asciiTheme="minorHAnsi" w:hAnsiTheme="minorHAnsi" w:cstheme="minorHAnsi"/>
          <w:sz w:val="24"/>
          <w:szCs w:val="24"/>
        </w:rPr>
      </w:pPr>
      <w:r>
        <w:rPr>
          <w:rFonts w:asciiTheme="minorHAnsi" w:hAnsiTheme="minorHAnsi" w:cstheme="minorHAnsi"/>
          <w:sz w:val="24"/>
          <w:szCs w:val="24"/>
        </w:rPr>
        <w:t xml:space="preserve">The DOC’s </w:t>
      </w:r>
      <w:r w:rsidR="000B4514" w:rsidRPr="000B4514">
        <w:rPr>
          <w:rFonts w:asciiTheme="minorHAnsi" w:hAnsiTheme="minorHAnsi" w:cstheme="minorHAnsi"/>
          <w:sz w:val="24"/>
          <w:szCs w:val="24"/>
        </w:rPr>
        <w:t>Financial Services Bureau</w:t>
      </w:r>
      <w:r>
        <w:rPr>
          <w:rFonts w:asciiTheme="minorHAnsi" w:hAnsiTheme="minorHAnsi" w:cstheme="minorHAnsi"/>
          <w:sz w:val="24"/>
          <w:szCs w:val="24"/>
        </w:rPr>
        <w:t xml:space="preserve"> (FSB)</w:t>
      </w:r>
      <w:r w:rsidR="000B4514" w:rsidRPr="000B4514">
        <w:rPr>
          <w:rFonts w:asciiTheme="minorHAnsi" w:hAnsiTheme="minorHAnsi" w:cstheme="minorHAnsi"/>
          <w:sz w:val="24"/>
          <w:szCs w:val="24"/>
        </w:rPr>
        <w:t xml:space="preserve"> </w:t>
      </w:r>
      <w:r>
        <w:rPr>
          <w:rFonts w:asciiTheme="minorHAnsi" w:hAnsiTheme="minorHAnsi" w:cstheme="minorHAnsi"/>
          <w:sz w:val="24"/>
          <w:szCs w:val="24"/>
        </w:rPr>
        <w:t>collects</w:t>
      </w:r>
      <w:r w:rsidR="000B4514" w:rsidRPr="000B4514">
        <w:rPr>
          <w:rFonts w:asciiTheme="minorHAnsi" w:hAnsiTheme="minorHAnsi" w:cstheme="minorHAnsi"/>
          <w:sz w:val="24"/>
          <w:szCs w:val="24"/>
        </w:rPr>
        <w:t xml:space="preserve"> financial information regarding the parents/guardians of youth committed to the </w:t>
      </w:r>
      <w:r>
        <w:rPr>
          <w:rFonts w:asciiTheme="minorHAnsi" w:hAnsiTheme="minorHAnsi" w:cstheme="minorHAnsi"/>
          <w:sz w:val="24"/>
          <w:szCs w:val="24"/>
        </w:rPr>
        <w:t>DOC’s</w:t>
      </w:r>
      <w:r w:rsidR="000B4514" w:rsidRPr="000B4514">
        <w:rPr>
          <w:rFonts w:asciiTheme="minorHAnsi" w:hAnsiTheme="minorHAnsi" w:cstheme="minorHAnsi"/>
          <w:sz w:val="24"/>
          <w:szCs w:val="24"/>
        </w:rPr>
        <w:t xml:space="preserve"> custody and supervision once a signed commitment order is received. The DOC obtain</w:t>
      </w:r>
      <w:r>
        <w:rPr>
          <w:rFonts w:asciiTheme="minorHAnsi" w:hAnsiTheme="minorHAnsi" w:cstheme="minorHAnsi"/>
          <w:sz w:val="24"/>
          <w:szCs w:val="24"/>
        </w:rPr>
        <w:t>s</w:t>
      </w:r>
      <w:r w:rsidR="000B4514" w:rsidRPr="000B4514">
        <w:rPr>
          <w:rFonts w:asciiTheme="minorHAnsi" w:hAnsiTheme="minorHAnsi" w:cstheme="minorHAnsi"/>
          <w:sz w:val="24"/>
          <w:szCs w:val="24"/>
        </w:rPr>
        <w:t xml:space="preserve"> court orders authorizing the collection of cost of care contributions from parents/guardians to offset DOC placement costs.</w:t>
      </w:r>
    </w:p>
    <w:p w14:paraId="1ED1790A" w14:textId="77777777" w:rsidR="000B4514" w:rsidRPr="000B4514" w:rsidRDefault="000B4514" w:rsidP="000B4514">
      <w:pPr>
        <w:ind w:left="0"/>
        <w:rPr>
          <w:rFonts w:asciiTheme="minorHAnsi" w:hAnsiTheme="minorHAnsi" w:cstheme="minorHAnsi"/>
          <w:sz w:val="24"/>
          <w:szCs w:val="24"/>
        </w:rPr>
      </w:pPr>
    </w:p>
    <w:p w14:paraId="2E4D212B" w14:textId="47E7C5DE"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FSB sends the parent/guardian a Financial Affidavit (please see document titled</w:t>
      </w:r>
      <w:r w:rsidR="00DB08B6">
        <w:rPr>
          <w:rFonts w:asciiTheme="minorHAnsi" w:hAnsiTheme="minorHAnsi" w:cstheme="minorHAnsi"/>
          <w:sz w:val="24"/>
          <w:szCs w:val="24"/>
        </w:rPr>
        <w:t xml:space="preserve"> </w:t>
      </w:r>
      <w:r w:rsidRPr="000B4514">
        <w:rPr>
          <w:rFonts w:asciiTheme="minorHAnsi" w:hAnsiTheme="minorHAnsi" w:cstheme="minorHAnsi"/>
          <w:sz w:val="24"/>
          <w:szCs w:val="24"/>
        </w:rPr>
        <w:t>“Financial</w:t>
      </w:r>
      <w:r w:rsidR="00DB08B6">
        <w:rPr>
          <w:rFonts w:asciiTheme="minorHAnsi" w:hAnsiTheme="minorHAnsi" w:cstheme="minorHAnsi"/>
          <w:sz w:val="24"/>
          <w:szCs w:val="24"/>
        </w:rPr>
        <w:t xml:space="preserve"> </w:t>
      </w:r>
      <w:r w:rsidRPr="000B4514">
        <w:rPr>
          <w:rFonts w:asciiTheme="minorHAnsi" w:hAnsiTheme="minorHAnsi" w:cstheme="minorHAnsi"/>
          <w:sz w:val="24"/>
          <w:szCs w:val="24"/>
        </w:rPr>
        <w:t xml:space="preserve">Affidavit”) along with a Notice Concerning Financial Support letter. </w:t>
      </w:r>
      <w:r w:rsidR="0082012E">
        <w:rPr>
          <w:rFonts w:asciiTheme="minorHAnsi" w:hAnsiTheme="minorHAnsi" w:cstheme="minorHAnsi"/>
          <w:sz w:val="24"/>
          <w:szCs w:val="24"/>
        </w:rPr>
        <w:t xml:space="preserve">Recipients are given 10 working days to return the completed document. </w:t>
      </w:r>
      <w:r w:rsidRPr="000B4514">
        <w:rPr>
          <w:rFonts w:asciiTheme="minorHAnsi" w:hAnsiTheme="minorHAnsi" w:cstheme="minorHAnsi"/>
          <w:sz w:val="24"/>
          <w:szCs w:val="24"/>
        </w:rPr>
        <w:t xml:space="preserve">If the Financial Affidavit is not returned by the specified date, a Second and Final Notice letter allowing an additional </w:t>
      </w:r>
      <w:r w:rsidR="00DB08B6">
        <w:rPr>
          <w:rFonts w:asciiTheme="minorHAnsi" w:hAnsiTheme="minorHAnsi" w:cstheme="minorHAnsi"/>
          <w:sz w:val="24"/>
          <w:szCs w:val="24"/>
        </w:rPr>
        <w:t>10</w:t>
      </w:r>
      <w:r w:rsidRPr="000B4514">
        <w:rPr>
          <w:rFonts w:asciiTheme="minorHAnsi" w:hAnsiTheme="minorHAnsi" w:cstheme="minorHAnsi"/>
          <w:sz w:val="24"/>
          <w:szCs w:val="24"/>
        </w:rPr>
        <w:t xml:space="preserve"> working days for return is sent to the parent/guardian.</w:t>
      </w:r>
    </w:p>
    <w:p w14:paraId="5FFE36C7" w14:textId="77777777" w:rsidR="000B4514" w:rsidRPr="000B4514" w:rsidRDefault="000B4514" w:rsidP="000B4514">
      <w:pPr>
        <w:ind w:left="0"/>
        <w:rPr>
          <w:rFonts w:asciiTheme="minorHAnsi" w:hAnsiTheme="minorHAnsi" w:cstheme="minorHAnsi"/>
          <w:sz w:val="24"/>
          <w:szCs w:val="24"/>
        </w:rPr>
      </w:pPr>
    </w:p>
    <w:p w14:paraId="36884710" w14:textId="61EDF7E1"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 xml:space="preserve">If </w:t>
      </w:r>
      <w:r w:rsidR="00DB08B6">
        <w:rPr>
          <w:rFonts w:asciiTheme="minorHAnsi" w:hAnsiTheme="minorHAnsi" w:cstheme="minorHAnsi"/>
          <w:sz w:val="24"/>
          <w:szCs w:val="24"/>
        </w:rPr>
        <w:t xml:space="preserve">all attempts to obtain the completed </w:t>
      </w:r>
      <w:r w:rsidRPr="000B4514">
        <w:rPr>
          <w:rFonts w:asciiTheme="minorHAnsi" w:hAnsiTheme="minorHAnsi" w:cstheme="minorHAnsi"/>
          <w:sz w:val="24"/>
          <w:szCs w:val="24"/>
        </w:rPr>
        <w:t xml:space="preserve">Financial Affidavit </w:t>
      </w:r>
      <w:r w:rsidR="0082012E">
        <w:rPr>
          <w:rFonts w:asciiTheme="minorHAnsi" w:hAnsiTheme="minorHAnsi" w:cstheme="minorHAnsi"/>
          <w:sz w:val="24"/>
          <w:szCs w:val="24"/>
        </w:rPr>
        <w:t>fail</w:t>
      </w:r>
      <w:r w:rsidRPr="000B4514">
        <w:rPr>
          <w:rFonts w:asciiTheme="minorHAnsi" w:hAnsiTheme="minorHAnsi" w:cstheme="minorHAnsi"/>
          <w:sz w:val="24"/>
          <w:szCs w:val="24"/>
        </w:rPr>
        <w:t xml:space="preserve">, FSB </w:t>
      </w:r>
      <w:r w:rsidR="00DB08B6">
        <w:rPr>
          <w:rFonts w:asciiTheme="minorHAnsi" w:hAnsiTheme="minorHAnsi" w:cstheme="minorHAnsi"/>
          <w:sz w:val="24"/>
          <w:szCs w:val="24"/>
        </w:rPr>
        <w:t>calculates</w:t>
      </w:r>
      <w:r w:rsidRPr="000B4514">
        <w:rPr>
          <w:rFonts w:asciiTheme="minorHAnsi" w:hAnsiTheme="minorHAnsi" w:cstheme="minorHAnsi"/>
          <w:sz w:val="24"/>
          <w:szCs w:val="24"/>
        </w:rPr>
        <w:t xml:space="preserve"> the cost of care contribution by i</w:t>
      </w:r>
      <w:r w:rsidR="0082012E">
        <w:rPr>
          <w:rFonts w:asciiTheme="minorHAnsi" w:hAnsiTheme="minorHAnsi" w:cstheme="minorHAnsi"/>
          <w:sz w:val="24"/>
          <w:szCs w:val="24"/>
        </w:rPr>
        <w:t>n</w:t>
      </w:r>
      <w:r w:rsidRPr="000B4514">
        <w:rPr>
          <w:rFonts w:asciiTheme="minorHAnsi" w:hAnsiTheme="minorHAnsi" w:cstheme="minorHAnsi"/>
          <w:sz w:val="24"/>
          <w:szCs w:val="24"/>
        </w:rPr>
        <w:t>pu</w:t>
      </w:r>
      <w:r w:rsidR="0082012E">
        <w:rPr>
          <w:rFonts w:asciiTheme="minorHAnsi" w:hAnsiTheme="minorHAnsi" w:cstheme="minorHAnsi"/>
          <w:sz w:val="24"/>
          <w:szCs w:val="24"/>
        </w:rPr>
        <w:t>t</w:t>
      </w:r>
      <w:r w:rsidRPr="000B4514">
        <w:rPr>
          <w:rFonts w:asciiTheme="minorHAnsi" w:hAnsiTheme="minorHAnsi" w:cstheme="minorHAnsi"/>
          <w:sz w:val="24"/>
          <w:szCs w:val="24"/>
        </w:rPr>
        <w:t xml:space="preserve">ting income using the (a) current minimum wage; (b) using income found from MISTICS </w:t>
      </w:r>
      <w:proofErr w:type="gramStart"/>
      <w:r w:rsidRPr="000B4514">
        <w:rPr>
          <w:rFonts w:asciiTheme="minorHAnsi" w:hAnsiTheme="minorHAnsi" w:cstheme="minorHAnsi"/>
          <w:sz w:val="24"/>
          <w:szCs w:val="24"/>
        </w:rPr>
        <w:t>or;</w:t>
      </w:r>
      <w:proofErr w:type="gramEnd"/>
      <w:r w:rsidRPr="000B4514">
        <w:rPr>
          <w:rFonts w:asciiTheme="minorHAnsi" w:hAnsiTheme="minorHAnsi" w:cstheme="minorHAnsi"/>
          <w:sz w:val="24"/>
          <w:szCs w:val="24"/>
        </w:rPr>
        <w:t xml:space="preserve"> (c) from other sources. FSB uses the Montana Automated Child Support system work sheet to determine the appropriate contribution using the information obtained from the financial affidavit. The program was developed by Nick </w:t>
      </w:r>
      <w:proofErr w:type="spellStart"/>
      <w:r w:rsidRPr="000B4514">
        <w:rPr>
          <w:rFonts w:asciiTheme="minorHAnsi" w:hAnsiTheme="minorHAnsi" w:cstheme="minorHAnsi"/>
          <w:sz w:val="24"/>
          <w:szCs w:val="24"/>
        </w:rPr>
        <w:t>Bourdeau</w:t>
      </w:r>
      <w:proofErr w:type="spellEnd"/>
      <w:r w:rsidRPr="000B4514">
        <w:rPr>
          <w:rFonts w:asciiTheme="minorHAnsi" w:hAnsiTheme="minorHAnsi" w:cstheme="minorHAnsi"/>
          <w:sz w:val="24"/>
          <w:szCs w:val="24"/>
        </w:rPr>
        <w:t xml:space="preserve"> of Great Falls, MT. (Authorization is required to obtain and use this program.)</w:t>
      </w:r>
    </w:p>
    <w:p w14:paraId="251AF154" w14:textId="77777777" w:rsidR="000B4514" w:rsidRPr="000B4514" w:rsidRDefault="000B4514" w:rsidP="000B4514">
      <w:pPr>
        <w:ind w:left="0"/>
        <w:rPr>
          <w:rFonts w:asciiTheme="minorHAnsi" w:hAnsiTheme="minorHAnsi" w:cstheme="minorHAnsi"/>
          <w:sz w:val="24"/>
          <w:szCs w:val="24"/>
        </w:rPr>
      </w:pPr>
    </w:p>
    <w:p w14:paraId="15A8E60E" w14:textId="45B3A01E"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 xml:space="preserve">Once a cost of care contribution is calculated, FSB will send a Notification of Contribution letter to the parent/guardian along with copies of the Montana Child Support Guidelines worksheet and notes </w:t>
      </w:r>
      <w:r w:rsidRPr="000B4514">
        <w:rPr>
          <w:rFonts w:asciiTheme="minorHAnsi" w:hAnsiTheme="minorHAnsi" w:cstheme="minorHAnsi"/>
          <w:sz w:val="24"/>
          <w:szCs w:val="24"/>
        </w:rPr>
        <w:lastRenderedPageBreak/>
        <w:t xml:space="preserve">describing how the cost of care calculation was determined. This notification letter allows </w:t>
      </w:r>
      <w:r w:rsidR="0082012E">
        <w:rPr>
          <w:rFonts w:asciiTheme="minorHAnsi" w:hAnsiTheme="minorHAnsi" w:cstheme="minorHAnsi"/>
          <w:sz w:val="24"/>
          <w:szCs w:val="24"/>
        </w:rPr>
        <w:t xml:space="preserve">10 </w:t>
      </w:r>
      <w:r w:rsidRPr="000B4514">
        <w:rPr>
          <w:rFonts w:asciiTheme="minorHAnsi" w:hAnsiTheme="minorHAnsi" w:cstheme="minorHAnsi"/>
          <w:sz w:val="24"/>
          <w:szCs w:val="24"/>
        </w:rPr>
        <w:t xml:space="preserve">days for the parent/guardian to dispute the calculation. This letter is the parent/guardian’s due process. If after </w:t>
      </w:r>
      <w:r w:rsidR="0082012E">
        <w:rPr>
          <w:rFonts w:asciiTheme="minorHAnsi" w:hAnsiTheme="minorHAnsi" w:cstheme="minorHAnsi"/>
          <w:sz w:val="24"/>
          <w:szCs w:val="24"/>
        </w:rPr>
        <w:t xml:space="preserve">10 </w:t>
      </w:r>
      <w:r w:rsidRPr="000B4514">
        <w:rPr>
          <w:rFonts w:asciiTheme="minorHAnsi" w:hAnsiTheme="minorHAnsi" w:cstheme="minorHAnsi"/>
          <w:sz w:val="24"/>
          <w:szCs w:val="24"/>
        </w:rPr>
        <w:t>days, the parent/guardian has not contacted FSB disputing or providing additional information, FSB prepare</w:t>
      </w:r>
      <w:r w:rsidR="0082012E">
        <w:rPr>
          <w:rFonts w:asciiTheme="minorHAnsi" w:hAnsiTheme="minorHAnsi" w:cstheme="minorHAnsi"/>
          <w:sz w:val="24"/>
          <w:szCs w:val="24"/>
        </w:rPr>
        <w:t>s</w:t>
      </w:r>
      <w:r w:rsidRPr="000B4514">
        <w:rPr>
          <w:rFonts w:asciiTheme="minorHAnsi" w:hAnsiTheme="minorHAnsi" w:cstheme="minorHAnsi"/>
          <w:sz w:val="24"/>
          <w:szCs w:val="24"/>
        </w:rPr>
        <w:t xml:space="preserve"> the cost of care documents. If the parent/guardian contacts FSB with additional information, FSB will use that information </w:t>
      </w:r>
      <w:r w:rsidR="0082012E">
        <w:rPr>
          <w:rFonts w:asciiTheme="minorHAnsi" w:hAnsiTheme="minorHAnsi" w:cstheme="minorHAnsi"/>
          <w:sz w:val="24"/>
          <w:szCs w:val="24"/>
        </w:rPr>
        <w:t>to</w:t>
      </w:r>
      <w:r w:rsidRPr="000B4514">
        <w:rPr>
          <w:rFonts w:asciiTheme="minorHAnsi" w:hAnsiTheme="minorHAnsi" w:cstheme="minorHAnsi"/>
          <w:sz w:val="24"/>
          <w:szCs w:val="24"/>
        </w:rPr>
        <w:t xml:space="preserve"> re-calculate the amount of cost of care. The parent/guardian’s due process would begin again.</w:t>
      </w:r>
    </w:p>
    <w:p w14:paraId="0B8E65F4" w14:textId="77777777"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 xml:space="preserve"> </w:t>
      </w:r>
    </w:p>
    <w:p w14:paraId="70EA0453" w14:textId="4990D7D2"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 xml:space="preserve">FSB may seek an order for cost of care contribution by working through appropriate legal counsel, </w:t>
      </w:r>
      <w:proofErr w:type="gramStart"/>
      <w:r w:rsidRPr="000B4514">
        <w:rPr>
          <w:rFonts w:asciiTheme="minorHAnsi" w:hAnsiTheme="minorHAnsi" w:cstheme="minorHAnsi"/>
          <w:sz w:val="24"/>
          <w:szCs w:val="24"/>
        </w:rPr>
        <w:t>i.e.</w:t>
      </w:r>
      <w:proofErr w:type="gramEnd"/>
      <w:r w:rsidRPr="000B4514">
        <w:rPr>
          <w:rFonts w:asciiTheme="minorHAnsi" w:hAnsiTheme="minorHAnsi" w:cstheme="minorHAnsi"/>
          <w:sz w:val="24"/>
          <w:szCs w:val="24"/>
        </w:rPr>
        <w:t xml:space="preserve"> the county attorney’s office in the appropriate county where the youth court case is filed or the</w:t>
      </w:r>
      <w:r w:rsidR="0082012E">
        <w:rPr>
          <w:rFonts w:asciiTheme="minorHAnsi" w:hAnsiTheme="minorHAnsi" w:cstheme="minorHAnsi"/>
          <w:sz w:val="24"/>
          <w:szCs w:val="24"/>
        </w:rPr>
        <w:t xml:space="preserve"> DOC’s</w:t>
      </w:r>
      <w:r w:rsidRPr="000B4514">
        <w:rPr>
          <w:rFonts w:asciiTheme="minorHAnsi" w:hAnsiTheme="minorHAnsi" w:cstheme="minorHAnsi"/>
          <w:sz w:val="24"/>
          <w:szCs w:val="24"/>
        </w:rPr>
        <w:t xml:space="preserve"> </w:t>
      </w:r>
      <w:r w:rsidR="0082012E">
        <w:rPr>
          <w:rFonts w:asciiTheme="minorHAnsi" w:hAnsiTheme="minorHAnsi" w:cstheme="minorHAnsi"/>
          <w:sz w:val="24"/>
          <w:szCs w:val="24"/>
        </w:rPr>
        <w:t>L</w:t>
      </w:r>
      <w:r w:rsidRPr="000B4514">
        <w:rPr>
          <w:rFonts w:asciiTheme="minorHAnsi" w:hAnsiTheme="minorHAnsi" w:cstheme="minorHAnsi"/>
          <w:sz w:val="24"/>
          <w:szCs w:val="24"/>
        </w:rPr>
        <w:t xml:space="preserve">egal </w:t>
      </w:r>
      <w:r w:rsidR="0082012E">
        <w:rPr>
          <w:rFonts w:asciiTheme="minorHAnsi" w:hAnsiTheme="minorHAnsi" w:cstheme="minorHAnsi"/>
          <w:sz w:val="24"/>
          <w:szCs w:val="24"/>
        </w:rPr>
        <w:t>S</w:t>
      </w:r>
      <w:r w:rsidRPr="000B4514">
        <w:rPr>
          <w:rFonts w:asciiTheme="minorHAnsi" w:hAnsiTheme="minorHAnsi" w:cstheme="minorHAnsi"/>
          <w:sz w:val="24"/>
          <w:szCs w:val="24"/>
        </w:rPr>
        <w:t xml:space="preserve">ervices </w:t>
      </w:r>
      <w:r w:rsidR="0082012E">
        <w:rPr>
          <w:rFonts w:asciiTheme="minorHAnsi" w:hAnsiTheme="minorHAnsi" w:cstheme="minorHAnsi"/>
          <w:sz w:val="24"/>
          <w:szCs w:val="24"/>
        </w:rPr>
        <w:t>B</w:t>
      </w:r>
      <w:r w:rsidRPr="000B4514">
        <w:rPr>
          <w:rFonts w:asciiTheme="minorHAnsi" w:hAnsiTheme="minorHAnsi" w:cstheme="minorHAnsi"/>
          <w:sz w:val="24"/>
          <w:szCs w:val="24"/>
        </w:rPr>
        <w:t xml:space="preserve">ureau to file the appropriate paperwork. </w:t>
      </w:r>
      <w:r w:rsidR="0082012E">
        <w:rPr>
          <w:rFonts w:asciiTheme="minorHAnsi" w:hAnsiTheme="minorHAnsi" w:cstheme="minorHAnsi"/>
          <w:sz w:val="24"/>
          <w:szCs w:val="24"/>
        </w:rPr>
        <w:t>N</w:t>
      </w:r>
      <w:r w:rsidRPr="000B4514">
        <w:rPr>
          <w:rFonts w:asciiTheme="minorHAnsi" w:hAnsiTheme="minorHAnsi" w:cstheme="minorHAnsi"/>
          <w:sz w:val="24"/>
          <w:szCs w:val="24"/>
        </w:rPr>
        <w:t xml:space="preserve">o interest or penalties </w:t>
      </w:r>
      <w:r w:rsidR="0082012E">
        <w:rPr>
          <w:rFonts w:asciiTheme="minorHAnsi" w:hAnsiTheme="minorHAnsi" w:cstheme="minorHAnsi"/>
          <w:sz w:val="24"/>
          <w:szCs w:val="24"/>
        </w:rPr>
        <w:t xml:space="preserve">are </w:t>
      </w:r>
      <w:r w:rsidRPr="000B4514">
        <w:rPr>
          <w:rFonts w:asciiTheme="minorHAnsi" w:hAnsiTheme="minorHAnsi" w:cstheme="minorHAnsi"/>
          <w:sz w:val="24"/>
          <w:szCs w:val="24"/>
        </w:rPr>
        <w:t>attached to the account. Garnishment is not more than 50% of available income.</w:t>
      </w:r>
    </w:p>
    <w:p w14:paraId="5CB4D751" w14:textId="77777777" w:rsidR="000B4514" w:rsidRPr="000B4514" w:rsidRDefault="000B4514" w:rsidP="000B4514">
      <w:pPr>
        <w:ind w:left="0"/>
        <w:rPr>
          <w:rFonts w:asciiTheme="minorHAnsi" w:hAnsiTheme="minorHAnsi" w:cstheme="minorHAnsi"/>
          <w:sz w:val="24"/>
          <w:szCs w:val="24"/>
        </w:rPr>
      </w:pPr>
    </w:p>
    <w:p w14:paraId="20B51F4F" w14:textId="418F085C"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FSB offers the parent/guardian a Letter of Payment Agreement</w:t>
      </w:r>
      <w:r w:rsidR="0082012E">
        <w:rPr>
          <w:rFonts w:asciiTheme="minorHAnsi" w:hAnsiTheme="minorHAnsi" w:cstheme="minorHAnsi"/>
          <w:sz w:val="24"/>
          <w:szCs w:val="24"/>
        </w:rPr>
        <w:t xml:space="preserve"> </w:t>
      </w:r>
      <w:r w:rsidRPr="000B4514">
        <w:rPr>
          <w:rFonts w:asciiTheme="minorHAnsi" w:hAnsiTheme="minorHAnsi" w:cstheme="minorHAnsi"/>
          <w:sz w:val="24"/>
          <w:szCs w:val="24"/>
        </w:rPr>
        <w:t>if the court</w:t>
      </w:r>
      <w:r w:rsidR="0082012E">
        <w:rPr>
          <w:rFonts w:asciiTheme="minorHAnsi" w:hAnsiTheme="minorHAnsi" w:cstheme="minorHAnsi"/>
          <w:sz w:val="24"/>
          <w:szCs w:val="24"/>
        </w:rPr>
        <w:t>-</w:t>
      </w:r>
      <w:r w:rsidRPr="000B4514">
        <w:rPr>
          <w:rFonts w:asciiTheme="minorHAnsi" w:hAnsiTheme="minorHAnsi" w:cstheme="minorHAnsi"/>
          <w:sz w:val="24"/>
          <w:szCs w:val="24"/>
        </w:rPr>
        <w:t xml:space="preserve">ordered monthly amount is a burden on the parent’s fiscal snapshot each month. This is presented to the parent/guardian prior to any garnishment, as it gives the parent/legal guardian control of their monthly financial obligations. If the account continues to be delinquent, FSB then refers the account to the Montana Department of Revenue. The DOR can then intercept a Montana tax refund. DOR charges 8% to do the interception for </w:t>
      </w:r>
      <w:r w:rsidR="0082012E">
        <w:rPr>
          <w:rFonts w:asciiTheme="minorHAnsi" w:hAnsiTheme="minorHAnsi" w:cstheme="minorHAnsi"/>
          <w:sz w:val="24"/>
          <w:szCs w:val="24"/>
        </w:rPr>
        <w:t xml:space="preserve">the </w:t>
      </w:r>
      <w:r w:rsidRPr="000B4514">
        <w:rPr>
          <w:rFonts w:asciiTheme="minorHAnsi" w:hAnsiTheme="minorHAnsi" w:cstheme="minorHAnsi"/>
          <w:sz w:val="24"/>
          <w:szCs w:val="24"/>
        </w:rPr>
        <w:t>DOC.</w:t>
      </w:r>
    </w:p>
    <w:p w14:paraId="5F7EEE37" w14:textId="77777777" w:rsidR="000B4514" w:rsidRPr="000B4514" w:rsidRDefault="000B4514" w:rsidP="000B4514">
      <w:pPr>
        <w:ind w:left="0"/>
        <w:rPr>
          <w:rFonts w:asciiTheme="minorHAnsi" w:hAnsiTheme="minorHAnsi" w:cstheme="minorHAnsi"/>
          <w:sz w:val="24"/>
          <w:szCs w:val="24"/>
        </w:rPr>
      </w:pPr>
    </w:p>
    <w:p w14:paraId="2385AFFD" w14:textId="77777777" w:rsidR="000B4514" w:rsidRPr="000B4514" w:rsidRDefault="000B4514" w:rsidP="000B4514">
      <w:pPr>
        <w:ind w:left="0"/>
        <w:rPr>
          <w:rFonts w:asciiTheme="minorHAnsi" w:hAnsiTheme="minorHAnsi" w:cstheme="minorHAnsi"/>
          <w:b/>
          <w:bCs/>
          <w:sz w:val="24"/>
          <w:szCs w:val="24"/>
        </w:rPr>
      </w:pPr>
      <w:r w:rsidRPr="000B4514">
        <w:rPr>
          <w:rFonts w:asciiTheme="minorHAnsi" w:hAnsiTheme="minorHAnsi" w:cstheme="minorHAnsi"/>
          <w:b/>
          <w:bCs/>
          <w:sz w:val="24"/>
          <w:szCs w:val="24"/>
        </w:rPr>
        <w:t>FSB’s policies and procedures for determining ability to pay the cost of care fee, including, but not limited to, notice to families, decision-making criteria, due process, and appeal rights:</w:t>
      </w:r>
    </w:p>
    <w:p w14:paraId="5ABD47FD" w14:textId="77777777" w:rsidR="000B4514" w:rsidRPr="000B4514" w:rsidRDefault="000B4514" w:rsidP="000B4514">
      <w:pPr>
        <w:ind w:left="0"/>
        <w:rPr>
          <w:rFonts w:asciiTheme="minorHAnsi" w:hAnsiTheme="minorHAnsi" w:cstheme="minorHAnsi"/>
          <w:b/>
          <w:bCs/>
          <w:sz w:val="24"/>
          <w:szCs w:val="24"/>
        </w:rPr>
      </w:pPr>
    </w:p>
    <w:p w14:paraId="2A7F8EE7" w14:textId="3616EAB7"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b/>
          <w:bCs/>
          <w:sz w:val="24"/>
          <w:szCs w:val="24"/>
        </w:rPr>
        <w:t>Policies and procedures for determining cost of care</w:t>
      </w:r>
      <w:r w:rsidRPr="000B4514">
        <w:rPr>
          <w:rFonts w:asciiTheme="minorHAnsi" w:hAnsiTheme="minorHAnsi" w:cstheme="minorHAnsi"/>
          <w:sz w:val="24"/>
          <w:szCs w:val="24"/>
        </w:rPr>
        <w:t xml:space="preserve">: </w:t>
      </w:r>
      <w:r w:rsidR="0082012E">
        <w:rPr>
          <w:rFonts w:asciiTheme="minorHAnsi" w:hAnsiTheme="minorHAnsi" w:cstheme="minorHAnsi"/>
          <w:sz w:val="24"/>
          <w:szCs w:val="24"/>
        </w:rPr>
        <w:t xml:space="preserve">The DOC </w:t>
      </w:r>
      <w:r w:rsidRPr="000B4514">
        <w:rPr>
          <w:rFonts w:asciiTheme="minorHAnsi" w:hAnsiTheme="minorHAnsi" w:cstheme="minorHAnsi"/>
          <w:sz w:val="24"/>
          <w:szCs w:val="24"/>
        </w:rPr>
        <w:t xml:space="preserve">was mandated by the </w:t>
      </w:r>
      <w:r w:rsidR="0082012E">
        <w:rPr>
          <w:rFonts w:asciiTheme="minorHAnsi" w:hAnsiTheme="minorHAnsi" w:cstheme="minorHAnsi"/>
          <w:sz w:val="24"/>
          <w:szCs w:val="24"/>
        </w:rPr>
        <w:t>Montana Legislature</w:t>
      </w:r>
      <w:r w:rsidRPr="000B4514">
        <w:rPr>
          <w:rFonts w:asciiTheme="minorHAnsi" w:hAnsiTheme="minorHAnsi" w:cstheme="minorHAnsi"/>
          <w:sz w:val="24"/>
          <w:szCs w:val="24"/>
        </w:rPr>
        <w:t xml:space="preserve"> in 1998 to pursue cost of care contributions from the parents whose juvenile child was placed in an out-of-home placement, at the expense of the </w:t>
      </w:r>
      <w:r w:rsidR="0082012E">
        <w:rPr>
          <w:rFonts w:asciiTheme="minorHAnsi" w:hAnsiTheme="minorHAnsi" w:cstheme="minorHAnsi"/>
          <w:sz w:val="24"/>
          <w:szCs w:val="24"/>
        </w:rPr>
        <w:t>d</w:t>
      </w:r>
      <w:r w:rsidRPr="000B4514">
        <w:rPr>
          <w:rFonts w:asciiTheme="minorHAnsi" w:hAnsiTheme="minorHAnsi" w:cstheme="minorHAnsi"/>
          <w:sz w:val="24"/>
          <w:szCs w:val="24"/>
        </w:rPr>
        <w:t>epartment:</w:t>
      </w:r>
    </w:p>
    <w:p w14:paraId="7A99ED29" w14:textId="77777777"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MCA 41-5-1525 Mont. Code Ann:</w:t>
      </w:r>
    </w:p>
    <w:p w14:paraId="7E2C3567" w14:textId="77777777" w:rsidR="000B4514" w:rsidRPr="000B4514" w:rsidRDefault="000B4514" w:rsidP="000B4514">
      <w:pPr>
        <w:ind w:left="0"/>
        <w:rPr>
          <w:rFonts w:asciiTheme="minorHAnsi" w:hAnsiTheme="minorHAnsi" w:cstheme="minorHAnsi"/>
          <w:sz w:val="24"/>
          <w:szCs w:val="24"/>
        </w:rPr>
      </w:pPr>
    </w:p>
    <w:p w14:paraId="0109A5D6" w14:textId="63C1EDC6" w:rsidR="000B4514" w:rsidRPr="000B4514" w:rsidRDefault="000B4514" w:rsidP="000B4514">
      <w:pPr>
        <w:pStyle w:val="ListParagraph"/>
        <w:numPr>
          <w:ilvl w:val="0"/>
          <w:numId w:val="16"/>
        </w:numPr>
        <w:rPr>
          <w:rFonts w:asciiTheme="minorHAnsi" w:hAnsiTheme="minorHAnsi" w:cstheme="minorHAnsi"/>
        </w:rPr>
      </w:pPr>
      <w:r w:rsidRPr="000B4514">
        <w:rPr>
          <w:rFonts w:asciiTheme="minorHAnsi" w:hAnsiTheme="minorHAnsi" w:cstheme="minorHAnsi"/>
        </w:rPr>
        <w:t>If a youth is placed in substitute care, a youth assessment center, or detention requiring payment by any state or local government agency or committed to the department, the court shall examine the financial ability of the youth's parents or guardians to pay a contribution covering all or part of the costs for the adjudication, disposition, attorney fees for the costs of prosecuting or defending the youth, costs of detention, supervision, care, custody, and treatment of the youth, including the costs of necessary medical, dental, and other health care.</w:t>
      </w:r>
    </w:p>
    <w:p w14:paraId="6A2BA821" w14:textId="77777777" w:rsidR="000B4514" w:rsidRPr="000B4514" w:rsidRDefault="000B4514" w:rsidP="000B4514">
      <w:pPr>
        <w:ind w:left="0"/>
        <w:rPr>
          <w:rFonts w:asciiTheme="minorHAnsi" w:hAnsiTheme="minorHAnsi" w:cstheme="minorHAnsi"/>
          <w:sz w:val="24"/>
          <w:szCs w:val="24"/>
        </w:rPr>
      </w:pPr>
    </w:p>
    <w:p w14:paraId="27DDEC55" w14:textId="1D8DA822" w:rsidR="000B4514" w:rsidRPr="000B4514" w:rsidRDefault="000B4514" w:rsidP="000B4514">
      <w:pPr>
        <w:pStyle w:val="ListParagraph"/>
        <w:numPr>
          <w:ilvl w:val="0"/>
          <w:numId w:val="16"/>
        </w:numPr>
        <w:rPr>
          <w:rFonts w:asciiTheme="minorHAnsi" w:hAnsiTheme="minorHAnsi" w:cstheme="minorHAnsi"/>
        </w:rPr>
      </w:pPr>
      <w:r w:rsidRPr="000B4514">
        <w:rPr>
          <w:rFonts w:asciiTheme="minorHAnsi" w:hAnsiTheme="minorHAnsi" w:cstheme="minorHAnsi"/>
        </w:rPr>
        <w:t>If the court determines that a youth's parents or guardians are financially able to pay a contribution for adjudication, disposition, attorney fees for the costs of prosecuting or defending the youth, costs of detention, or supervision as provided in subsection (1), the court shall order the youth's parents or guardians to pay a specified amount. The order must state to which state or local government agency all or a part of the contribution is due and in what order the payments must be made.</w:t>
      </w:r>
    </w:p>
    <w:p w14:paraId="07C03EDE" w14:textId="77777777" w:rsidR="000B4514" w:rsidRPr="000B4514" w:rsidRDefault="000B4514" w:rsidP="000B4514">
      <w:pPr>
        <w:ind w:left="0"/>
        <w:rPr>
          <w:rFonts w:asciiTheme="minorHAnsi" w:hAnsiTheme="minorHAnsi" w:cstheme="minorHAnsi"/>
          <w:sz w:val="24"/>
          <w:szCs w:val="24"/>
        </w:rPr>
      </w:pPr>
    </w:p>
    <w:p w14:paraId="753870C9" w14:textId="0CD549CF" w:rsidR="000B4514" w:rsidRPr="000B4514" w:rsidRDefault="000B4514" w:rsidP="000B4514">
      <w:pPr>
        <w:pStyle w:val="ListParagraph"/>
        <w:numPr>
          <w:ilvl w:val="0"/>
          <w:numId w:val="16"/>
        </w:numPr>
        <w:rPr>
          <w:rFonts w:asciiTheme="minorHAnsi" w:hAnsiTheme="minorHAnsi" w:cstheme="minorHAnsi"/>
        </w:rPr>
      </w:pPr>
      <w:r w:rsidRPr="000B4514">
        <w:rPr>
          <w:rFonts w:asciiTheme="minorHAnsi" w:hAnsiTheme="minorHAnsi" w:cstheme="minorHAnsi"/>
        </w:rPr>
        <w:t xml:space="preserve">If the court determines that the youth's parents or guardians are financially able to pay a contribution as provided in subsection (1), the court shall order the youth's parents or guardians to pay an amount attributable to care, custody, and treatment based on the uniform </w:t>
      </w:r>
      <w:r w:rsidRPr="000B4514">
        <w:rPr>
          <w:rFonts w:asciiTheme="minorHAnsi" w:hAnsiTheme="minorHAnsi" w:cstheme="minorHAnsi"/>
        </w:rPr>
        <w:lastRenderedPageBreak/>
        <w:t>child support guidelines adopted by the department of public health and human services pursuant to 40-5-</w:t>
      </w:r>
      <w:proofErr w:type="gramStart"/>
      <w:r w:rsidRPr="000B4514">
        <w:rPr>
          <w:rFonts w:asciiTheme="minorHAnsi" w:hAnsiTheme="minorHAnsi" w:cstheme="minorHAnsi"/>
        </w:rPr>
        <w:t>209 .</w:t>
      </w:r>
      <w:proofErr w:type="gramEnd"/>
    </w:p>
    <w:p w14:paraId="114BBA52" w14:textId="77777777" w:rsidR="000B4514" w:rsidRPr="000B4514" w:rsidRDefault="000B4514" w:rsidP="000B4514">
      <w:pPr>
        <w:ind w:left="0"/>
        <w:rPr>
          <w:rFonts w:asciiTheme="minorHAnsi" w:hAnsiTheme="minorHAnsi" w:cstheme="minorHAnsi"/>
          <w:sz w:val="24"/>
          <w:szCs w:val="24"/>
        </w:rPr>
      </w:pPr>
    </w:p>
    <w:p w14:paraId="465C6724" w14:textId="7F458546" w:rsidR="000B4514" w:rsidRPr="000B4514" w:rsidRDefault="000B4514" w:rsidP="00DC5FA9">
      <w:pPr>
        <w:ind w:left="360"/>
        <w:rPr>
          <w:rFonts w:asciiTheme="minorHAnsi" w:hAnsiTheme="minorHAnsi" w:cstheme="minorHAnsi"/>
          <w:sz w:val="24"/>
          <w:szCs w:val="24"/>
        </w:rPr>
      </w:pPr>
      <w:r w:rsidRPr="000B4514">
        <w:rPr>
          <w:rFonts w:asciiTheme="minorHAnsi" w:hAnsiTheme="minorHAnsi" w:cstheme="minorHAnsi"/>
          <w:sz w:val="24"/>
          <w:szCs w:val="24"/>
        </w:rPr>
        <w:t>(4)(a)</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Except as provided in subsection (4)(b), contributions ordered under subsection (3) and each modification of an existing order are enforceable by immediate or delinquency income withholding, or both, under Title 40, chapter 5, parts 3 and 4. An order for</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contribution that is inconsistent with this section is nevertheless subject to withholding for the payment of the contribution without need for an amendment of the support order or for any further action by the court.</w:t>
      </w:r>
    </w:p>
    <w:p w14:paraId="61EDB35B" w14:textId="77777777" w:rsidR="000B4514" w:rsidRPr="000B4514" w:rsidRDefault="000B4514" w:rsidP="000B4514">
      <w:pPr>
        <w:ind w:left="0"/>
        <w:rPr>
          <w:rFonts w:asciiTheme="minorHAnsi" w:hAnsiTheme="minorHAnsi" w:cstheme="minorHAnsi"/>
          <w:sz w:val="24"/>
          <w:szCs w:val="24"/>
        </w:rPr>
      </w:pPr>
    </w:p>
    <w:p w14:paraId="77069DBF" w14:textId="6BD3C515" w:rsidR="000B4514" w:rsidRPr="000B4514" w:rsidRDefault="000B4514" w:rsidP="00DC5FA9">
      <w:pPr>
        <w:ind w:left="360"/>
        <w:rPr>
          <w:rFonts w:asciiTheme="minorHAnsi" w:hAnsiTheme="minorHAnsi" w:cstheme="minorHAnsi"/>
          <w:sz w:val="24"/>
          <w:szCs w:val="24"/>
        </w:rPr>
      </w:pPr>
      <w:r w:rsidRPr="000B4514">
        <w:rPr>
          <w:rFonts w:asciiTheme="minorHAnsi" w:hAnsiTheme="minorHAnsi" w:cstheme="minorHAnsi"/>
          <w:sz w:val="24"/>
          <w:szCs w:val="24"/>
        </w:rPr>
        <w:t>(b)</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A court-ordered exception from contributions under this section must be in writing and must be included in the order. An exception from the immediate income-withholding requirement may be granted if the court finds that there is:</w:t>
      </w:r>
    </w:p>
    <w:p w14:paraId="53DE939C" w14:textId="4D56B3B7" w:rsidR="000B4514" w:rsidRPr="000B4514" w:rsidRDefault="000B4514" w:rsidP="00DC5FA9">
      <w:pPr>
        <w:rPr>
          <w:rFonts w:asciiTheme="minorHAnsi" w:hAnsiTheme="minorHAnsi" w:cstheme="minorHAnsi"/>
          <w:sz w:val="24"/>
          <w:szCs w:val="24"/>
        </w:rPr>
      </w:pPr>
      <w:r w:rsidRPr="000B4514">
        <w:rPr>
          <w:rFonts w:asciiTheme="minorHAnsi" w:hAnsiTheme="minorHAnsi" w:cstheme="minorHAnsi"/>
          <w:sz w:val="24"/>
          <w:szCs w:val="24"/>
        </w:rPr>
        <w:t>(</w:t>
      </w:r>
      <w:proofErr w:type="spellStart"/>
      <w:r w:rsidRPr="000B4514">
        <w:rPr>
          <w:rFonts w:asciiTheme="minorHAnsi" w:hAnsiTheme="minorHAnsi" w:cstheme="minorHAnsi"/>
          <w:sz w:val="24"/>
          <w:szCs w:val="24"/>
        </w:rPr>
        <w:t>i</w:t>
      </w:r>
      <w:proofErr w:type="spellEnd"/>
      <w:r w:rsidRPr="000B4514">
        <w:rPr>
          <w:rFonts w:asciiTheme="minorHAnsi" w:hAnsiTheme="minorHAnsi" w:cstheme="minorHAnsi"/>
          <w:sz w:val="24"/>
          <w:szCs w:val="24"/>
        </w:rPr>
        <w:t>)</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good cause not to require immediate income withholding; or</w:t>
      </w:r>
    </w:p>
    <w:p w14:paraId="1CD19ED1" w14:textId="3D0A20EF" w:rsidR="000B4514" w:rsidRPr="000B4514" w:rsidRDefault="000B4514" w:rsidP="00DC5FA9">
      <w:pPr>
        <w:rPr>
          <w:rFonts w:asciiTheme="minorHAnsi" w:hAnsiTheme="minorHAnsi" w:cstheme="minorHAnsi"/>
          <w:sz w:val="24"/>
          <w:szCs w:val="24"/>
        </w:rPr>
      </w:pPr>
      <w:r w:rsidRPr="000B4514">
        <w:rPr>
          <w:rFonts w:asciiTheme="minorHAnsi" w:hAnsiTheme="minorHAnsi" w:cstheme="minorHAnsi"/>
          <w:sz w:val="24"/>
          <w:szCs w:val="24"/>
        </w:rPr>
        <w:t>(ii)</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an alternative arrangement between the department and the person who is ordered to pay contributions.</w:t>
      </w:r>
    </w:p>
    <w:p w14:paraId="30C674EB" w14:textId="77777777" w:rsidR="000B4514" w:rsidRPr="000B4514" w:rsidRDefault="000B4514" w:rsidP="000B4514">
      <w:pPr>
        <w:ind w:left="0"/>
        <w:rPr>
          <w:rFonts w:asciiTheme="minorHAnsi" w:hAnsiTheme="minorHAnsi" w:cstheme="minorHAnsi"/>
          <w:sz w:val="24"/>
          <w:szCs w:val="24"/>
        </w:rPr>
      </w:pPr>
    </w:p>
    <w:p w14:paraId="48802FAA" w14:textId="7A4D1CD1" w:rsidR="000B4514" w:rsidRPr="000B4514" w:rsidRDefault="000B4514" w:rsidP="00DC5FA9">
      <w:pPr>
        <w:rPr>
          <w:rFonts w:asciiTheme="minorHAnsi" w:hAnsiTheme="minorHAnsi" w:cstheme="minorHAnsi"/>
          <w:sz w:val="24"/>
          <w:szCs w:val="24"/>
        </w:rPr>
      </w:pPr>
      <w:r w:rsidRPr="000B4514">
        <w:rPr>
          <w:rFonts w:asciiTheme="minorHAnsi" w:hAnsiTheme="minorHAnsi" w:cstheme="minorHAnsi"/>
          <w:sz w:val="24"/>
          <w:szCs w:val="24"/>
        </w:rPr>
        <w:t>(c)</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A finding of good cause not to require immediate income withholding must, at a minimum, be based upon:</w:t>
      </w:r>
    </w:p>
    <w:p w14:paraId="78B173DB" w14:textId="653E38F0" w:rsidR="000B4514" w:rsidRPr="000B4514" w:rsidRDefault="000B4514" w:rsidP="00DC5FA9">
      <w:pPr>
        <w:ind w:left="1440"/>
        <w:rPr>
          <w:rFonts w:asciiTheme="minorHAnsi" w:hAnsiTheme="minorHAnsi" w:cstheme="minorHAnsi"/>
          <w:sz w:val="24"/>
          <w:szCs w:val="24"/>
        </w:rPr>
      </w:pPr>
      <w:r w:rsidRPr="000B4514">
        <w:rPr>
          <w:rFonts w:asciiTheme="minorHAnsi" w:hAnsiTheme="minorHAnsi" w:cstheme="minorHAnsi"/>
          <w:sz w:val="24"/>
          <w:szCs w:val="24"/>
        </w:rPr>
        <w:t>(</w:t>
      </w:r>
      <w:proofErr w:type="spellStart"/>
      <w:r w:rsidRPr="000B4514">
        <w:rPr>
          <w:rFonts w:asciiTheme="minorHAnsi" w:hAnsiTheme="minorHAnsi" w:cstheme="minorHAnsi"/>
          <w:sz w:val="24"/>
          <w:szCs w:val="24"/>
        </w:rPr>
        <w:t>i</w:t>
      </w:r>
      <w:proofErr w:type="spellEnd"/>
      <w:r w:rsidRPr="000B4514">
        <w:rPr>
          <w:rFonts w:asciiTheme="minorHAnsi" w:hAnsiTheme="minorHAnsi" w:cstheme="minorHAnsi"/>
          <w:sz w:val="24"/>
          <w:szCs w:val="24"/>
        </w:rPr>
        <w:t>)</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a written determination and explanation by the court of the reasons why the implementation of immediate income withholding is not in the best interests of the youth; and</w:t>
      </w:r>
    </w:p>
    <w:p w14:paraId="4AB6965D" w14:textId="754E862C" w:rsidR="000B4514" w:rsidRPr="000B4514" w:rsidRDefault="000B4514" w:rsidP="00DC5FA9">
      <w:pPr>
        <w:ind w:left="1440"/>
        <w:rPr>
          <w:rFonts w:asciiTheme="minorHAnsi" w:hAnsiTheme="minorHAnsi" w:cstheme="minorHAnsi"/>
          <w:sz w:val="24"/>
          <w:szCs w:val="24"/>
        </w:rPr>
      </w:pPr>
      <w:r w:rsidRPr="000B4514">
        <w:rPr>
          <w:rFonts w:asciiTheme="minorHAnsi" w:hAnsiTheme="minorHAnsi" w:cstheme="minorHAnsi"/>
          <w:sz w:val="24"/>
          <w:szCs w:val="24"/>
        </w:rPr>
        <w:t>(ii)</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proof of timely payment of previously ordered support in cases involving modification of contributions ordered under this section.</w:t>
      </w:r>
    </w:p>
    <w:p w14:paraId="59B346B9" w14:textId="77777777" w:rsidR="000B4514" w:rsidRPr="000B4514" w:rsidRDefault="000B4514" w:rsidP="000B4514">
      <w:pPr>
        <w:ind w:left="0"/>
        <w:rPr>
          <w:rFonts w:asciiTheme="minorHAnsi" w:hAnsiTheme="minorHAnsi" w:cstheme="minorHAnsi"/>
          <w:sz w:val="24"/>
          <w:szCs w:val="24"/>
        </w:rPr>
      </w:pPr>
    </w:p>
    <w:p w14:paraId="4DAD1859" w14:textId="633B6084" w:rsidR="000B4514" w:rsidRPr="000B4514" w:rsidRDefault="000B4514" w:rsidP="00DC5FA9">
      <w:pPr>
        <w:rPr>
          <w:rFonts w:asciiTheme="minorHAnsi" w:hAnsiTheme="minorHAnsi" w:cstheme="minorHAnsi"/>
          <w:sz w:val="24"/>
          <w:szCs w:val="24"/>
        </w:rPr>
      </w:pPr>
      <w:r w:rsidRPr="000B4514">
        <w:rPr>
          <w:rFonts w:asciiTheme="minorHAnsi" w:hAnsiTheme="minorHAnsi" w:cstheme="minorHAnsi"/>
          <w:sz w:val="24"/>
          <w:szCs w:val="24"/>
        </w:rPr>
        <w:t>(d)</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An alternative arrangement must:</w:t>
      </w:r>
    </w:p>
    <w:p w14:paraId="048BF2D1" w14:textId="3035DA38" w:rsidR="000B4514" w:rsidRPr="000B4514" w:rsidRDefault="000B4514" w:rsidP="00DC5FA9">
      <w:pPr>
        <w:ind w:left="1440"/>
        <w:rPr>
          <w:rFonts w:asciiTheme="minorHAnsi" w:hAnsiTheme="minorHAnsi" w:cstheme="minorHAnsi"/>
          <w:sz w:val="24"/>
          <w:szCs w:val="24"/>
        </w:rPr>
      </w:pPr>
      <w:r w:rsidRPr="000B4514">
        <w:rPr>
          <w:rFonts w:asciiTheme="minorHAnsi" w:hAnsiTheme="minorHAnsi" w:cstheme="minorHAnsi"/>
          <w:sz w:val="24"/>
          <w:szCs w:val="24"/>
        </w:rPr>
        <w:t>(</w:t>
      </w:r>
      <w:proofErr w:type="spellStart"/>
      <w:r w:rsidRPr="000B4514">
        <w:rPr>
          <w:rFonts w:asciiTheme="minorHAnsi" w:hAnsiTheme="minorHAnsi" w:cstheme="minorHAnsi"/>
          <w:sz w:val="24"/>
          <w:szCs w:val="24"/>
        </w:rPr>
        <w:t>i</w:t>
      </w:r>
      <w:proofErr w:type="spellEnd"/>
      <w:r w:rsidRPr="000B4514">
        <w:rPr>
          <w:rFonts w:asciiTheme="minorHAnsi" w:hAnsiTheme="minorHAnsi" w:cstheme="minorHAnsi"/>
          <w:sz w:val="24"/>
          <w:szCs w:val="24"/>
        </w:rPr>
        <w:t>)</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 xml:space="preserve">provide sufficient security to ensure compliance with the </w:t>
      </w:r>
      <w:proofErr w:type="gramStart"/>
      <w:r w:rsidRPr="000B4514">
        <w:rPr>
          <w:rFonts w:asciiTheme="minorHAnsi" w:hAnsiTheme="minorHAnsi" w:cstheme="minorHAnsi"/>
          <w:sz w:val="24"/>
          <w:szCs w:val="24"/>
        </w:rPr>
        <w:t>arrangement;</w:t>
      </w:r>
      <w:proofErr w:type="gramEnd"/>
    </w:p>
    <w:p w14:paraId="07EEDF4C" w14:textId="56DE3EEC" w:rsidR="000B4514" w:rsidRPr="000B4514" w:rsidRDefault="000B4514" w:rsidP="00DC5FA9">
      <w:pPr>
        <w:ind w:left="1440"/>
        <w:rPr>
          <w:rFonts w:asciiTheme="minorHAnsi" w:hAnsiTheme="minorHAnsi" w:cstheme="minorHAnsi"/>
          <w:sz w:val="24"/>
          <w:szCs w:val="24"/>
        </w:rPr>
      </w:pPr>
      <w:r w:rsidRPr="000B4514">
        <w:rPr>
          <w:rFonts w:asciiTheme="minorHAnsi" w:hAnsiTheme="minorHAnsi" w:cstheme="minorHAnsi"/>
          <w:sz w:val="24"/>
          <w:szCs w:val="24"/>
        </w:rPr>
        <w:t>(ii)</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be in writing and be signed by a representative of the department and the person required to make contributions; and</w:t>
      </w:r>
    </w:p>
    <w:p w14:paraId="71F90FE4" w14:textId="31EC95D9" w:rsidR="000B4514" w:rsidRPr="000B4514" w:rsidRDefault="000B4514" w:rsidP="00DC5FA9">
      <w:pPr>
        <w:ind w:left="1440"/>
        <w:rPr>
          <w:rFonts w:asciiTheme="minorHAnsi" w:hAnsiTheme="minorHAnsi" w:cstheme="minorHAnsi"/>
          <w:sz w:val="24"/>
          <w:szCs w:val="24"/>
        </w:rPr>
      </w:pPr>
      <w:r w:rsidRPr="000B4514">
        <w:rPr>
          <w:rFonts w:asciiTheme="minorHAnsi" w:hAnsiTheme="minorHAnsi" w:cstheme="minorHAnsi"/>
          <w:sz w:val="24"/>
          <w:szCs w:val="24"/>
        </w:rPr>
        <w:t>(iii)</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if approved by the court, be entered into the record of the proceeding.</w:t>
      </w:r>
    </w:p>
    <w:p w14:paraId="7AE3A140" w14:textId="77777777" w:rsidR="000B4514" w:rsidRPr="000B4514" w:rsidRDefault="000B4514" w:rsidP="000B4514">
      <w:pPr>
        <w:ind w:left="0"/>
        <w:rPr>
          <w:rFonts w:asciiTheme="minorHAnsi" w:hAnsiTheme="minorHAnsi" w:cstheme="minorHAnsi"/>
          <w:sz w:val="24"/>
          <w:szCs w:val="24"/>
        </w:rPr>
      </w:pPr>
    </w:p>
    <w:p w14:paraId="09AE052C" w14:textId="77777777"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(5) Upon a showing of a change in the financial ability of the youth's parents or guardians to pay, the court may modify its order for the payment of contributions required under subsection (3).</w:t>
      </w:r>
    </w:p>
    <w:p w14:paraId="74091244" w14:textId="77777777" w:rsidR="000B4514" w:rsidRPr="000B4514" w:rsidRDefault="000B4514" w:rsidP="000B4514">
      <w:pPr>
        <w:ind w:left="0"/>
        <w:rPr>
          <w:rFonts w:asciiTheme="minorHAnsi" w:hAnsiTheme="minorHAnsi" w:cstheme="minorHAnsi"/>
          <w:sz w:val="24"/>
          <w:szCs w:val="24"/>
        </w:rPr>
      </w:pPr>
    </w:p>
    <w:p w14:paraId="1B0EBE21" w14:textId="77777777"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(6)(a) If the court orders the payment of contributions under this section, the department may apply to the department of public health and human services for support enforcement services pursuant to Title IV-D of the Social Security Act.</w:t>
      </w:r>
    </w:p>
    <w:p w14:paraId="1FA0C28B" w14:textId="77777777" w:rsidR="000B4514" w:rsidRPr="000B4514" w:rsidRDefault="000B4514" w:rsidP="000B4514">
      <w:pPr>
        <w:ind w:left="0"/>
        <w:rPr>
          <w:rFonts w:asciiTheme="minorHAnsi" w:hAnsiTheme="minorHAnsi" w:cstheme="minorHAnsi"/>
          <w:sz w:val="24"/>
          <w:szCs w:val="24"/>
        </w:rPr>
      </w:pPr>
    </w:p>
    <w:p w14:paraId="75541E11" w14:textId="77777777"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(b) The department of public health and human services may collect and enforce a contribution order under this section by any means available under law, including the remedies provided for in Title 40, chapter 5, parts 2 and 4.</w:t>
      </w:r>
    </w:p>
    <w:p w14:paraId="37126EA2" w14:textId="77777777" w:rsidR="000B4514" w:rsidRPr="000B4514" w:rsidRDefault="000B4514" w:rsidP="000B4514">
      <w:pPr>
        <w:ind w:left="0"/>
        <w:rPr>
          <w:rFonts w:asciiTheme="minorHAnsi" w:hAnsiTheme="minorHAnsi" w:cstheme="minorHAnsi"/>
          <w:sz w:val="24"/>
          <w:szCs w:val="24"/>
        </w:rPr>
      </w:pPr>
    </w:p>
    <w:p w14:paraId="68296043" w14:textId="77777777" w:rsidR="0089752D" w:rsidRDefault="0089752D" w:rsidP="000B4514">
      <w:pPr>
        <w:ind w:left="0"/>
        <w:rPr>
          <w:rFonts w:asciiTheme="minorHAnsi" w:hAnsiTheme="minorHAnsi" w:cstheme="minorHAnsi"/>
          <w:b/>
          <w:bCs/>
          <w:sz w:val="24"/>
          <w:szCs w:val="24"/>
        </w:rPr>
      </w:pPr>
    </w:p>
    <w:p w14:paraId="523349D9" w14:textId="77777777" w:rsidR="0089752D" w:rsidRDefault="0089752D" w:rsidP="000B4514">
      <w:pPr>
        <w:ind w:left="0"/>
        <w:rPr>
          <w:rFonts w:asciiTheme="minorHAnsi" w:hAnsiTheme="minorHAnsi" w:cstheme="minorHAnsi"/>
          <w:b/>
          <w:bCs/>
          <w:sz w:val="24"/>
          <w:szCs w:val="24"/>
        </w:rPr>
      </w:pPr>
    </w:p>
    <w:p w14:paraId="16F555AF" w14:textId="77777777" w:rsidR="0089752D" w:rsidRDefault="0089752D" w:rsidP="000B4514">
      <w:pPr>
        <w:ind w:left="0"/>
        <w:rPr>
          <w:rFonts w:asciiTheme="minorHAnsi" w:hAnsiTheme="minorHAnsi" w:cstheme="minorHAnsi"/>
          <w:b/>
          <w:bCs/>
          <w:sz w:val="24"/>
          <w:szCs w:val="24"/>
        </w:rPr>
      </w:pPr>
    </w:p>
    <w:p w14:paraId="4FC1C5E7" w14:textId="77777777" w:rsidR="0089752D" w:rsidRDefault="0089752D" w:rsidP="000B4514">
      <w:pPr>
        <w:ind w:left="0"/>
        <w:rPr>
          <w:rFonts w:asciiTheme="minorHAnsi" w:hAnsiTheme="minorHAnsi" w:cstheme="minorHAnsi"/>
          <w:b/>
          <w:bCs/>
          <w:sz w:val="24"/>
          <w:szCs w:val="24"/>
        </w:rPr>
      </w:pPr>
    </w:p>
    <w:p w14:paraId="592B0B73" w14:textId="5CE4C761" w:rsidR="000B4514" w:rsidRPr="000B4514" w:rsidRDefault="000B4514" w:rsidP="000B4514">
      <w:pPr>
        <w:ind w:left="0"/>
        <w:rPr>
          <w:rFonts w:asciiTheme="minorHAnsi" w:hAnsiTheme="minorHAnsi" w:cstheme="minorHAnsi"/>
          <w:b/>
          <w:bCs/>
          <w:sz w:val="24"/>
          <w:szCs w:val="24"/>
        </w:rPr>
      </w:pPr>
      <w:r w:rsidRPr="000B4514">
        <w:rPr>
          <w:rFonts w:asciiTheme="minorHAnsi" w:hAnsiTheme="minorHAnsi" w:cstheme="minorHAnsi"/>
          <w:b/>
          <w:bCs/>
          <w:sz w:val="24"/>
          <w:szCs w:val="24"/>
        </w:rPr>
        <w:t>Decision-making criteria, due process, and appeal rights:</w:t>
      </w:r>
    </w:p>
    <w:p w14:paraId="6363295F" w14:textId="77777777" w:rsidR="000B4514" w:rsidRPr="000B4514" w:rsidRDefault="000B4514" w:rsidP="000B4514">
      <w:pPr>
        <w:ind w:left="0"/>
        <w:rPr>
          <w:rFonts w:asciiTheme="minorHAnsi" w:hAnsiTheme="minorHAnsi" w:cstheme="minorHAnsi"/>
          <w:sz w:val="24"/>
          <w:szCs w:val="24"/>
        </w:rPr>
      </w:pPr>
    </w:p>
    <w:p w14:paraId="6E36FF3F" w14:textId="17BC3A2D" w:rsidR="000B4514" w:rsidRPr="000B4514" w:rsidRDefault="0089752D" w:rsidP="000B4514">
      <w:pPr>
        <w:ind w:left="0"/>
        <w:rPr>
          <w:rFonts w:asciiTheme="minorHAnsi" w:hAnsiTheme="minorHAnsi" w:cstheme="minorHAnsi"/>
          <w:sz w:val="24"/>
          <w:szCs w:val="24"/>
        </w:rPr>
      </w:pPr>
      <w:r>
        <w:rPr>
          <w:rFonts w:asciiTheme="minorHAnsi" w:hAnsiTheme="minorHAnsi" w:cstheme="minorHAnsi"/>
          <w:sz w:val="24"/>
          <w:szCs w:val="24"/>
        </w:rPr>
        <w:t>The DOC</w:t>
      </w:r>
      <w:r w:rsidR="000B4514" w:rsidRPr="000B4514">
        <w:rPr>
          <w:rFonts w:asciiTheme="minorHAnsi" w:hAnsiTheme="minorHAnsi" w:cstheme="minorHAnsi"/>
          <w:sz w:val="24"/>
          <w:szCs w:val="24"/>
        </w:rPr>
        <w:t xml:space="preserve"> informs the parent/legal guardian of their right to object to the order</w:t>
      </w:r>
      <w:r>
        <w:rPr>
          <w:rFonts w:asciiTheme="minorHAnsi" w:hAnsiTheme="minorHAnsi" w:cstheme="minorHAnsi"/>
          <w:sz w:val="24"/>
          <w:szCs w:val="24"/>
        </w:rPr>
        <w:t>.</w:t>
      </w:r>
      <w:r w:rsidR="000B4514" w:rsidRPr="000B4514">
        <w:rPr>
          <w:rFonts w:asciiTheme="minorHAnsi" w:hAnsiTheme="minorHAnsi" w:cstheme="minorHAnsi"/>
          <w:sz w:val="24"/>
          <w:szCs w:val="24"/>
        </w:rPr>
        <w:t xml:space="preserve"> </w:t>
      </w:r>
      <w:r>
        <w:rPr>
          <w:rFonts w:asciiTheme="minorHAnsi" w:hAnsiTheme="minorHAnsi" w:cstheme="minorHAnsi"/>
          <w:sz w:val="24"/>
          <w:szCs w:val="24"/>
        </w:rPr>
        <w:t>W</w:t>
      </w:r>
      <w:r w:rsidR="000B4514" w:rsidRPr="000B4514">
        <w:rPr>
          <w:rFonts w:asciiTheme="minorHAnsi" w:hAnsiTheme="minorHAnsi" w:cstheme="minorHAnsi"/>
          <w:sz w:val="24"/>
          <w:szCs w:val="24"/>
        </w:rPr>
        <w:t>ithin 10 days of receiving th</w:t>
      </w:r>
      <w:r>
        <w:rPr>
          <w:rFonts w:asciiTheme="minorHAnsi" w:hAnsiTheme="minorHAnsi" w:cstheme="minorHAnsi"/>
          <w:sz w:val="24"/>
          <w:szCs w:val="24"/>
        </w:rPr>
        <w:t>e</w:t>
      </w:r>
      <w:r w:rsidR="000B4514" w:rsidRPr="000B4514">
        <w:rPr>
          <w:rFonts w:asciiTheme="minorHAnsi" w:hAnsiTheme="minorHAnsi" w:cstheme="minorHAnsi"/>
          <w:sz w:val="24"/>
          <w:szCs w:val="24"/>
        </w:rPr>
        <w:t xml:space="preserve"> letter of Due Process,</w:t>
      </w:r>
      <w:r>
        <w:rPr>
          <w:rFonts w:asciiTheme="minorHAnsi" w:hAnsiTheme="minorHAnsi" w:cstheme="minorHAnsi"/>
          <w:sz w:val="24"/>
          <w:szCs w:val="24"/>
        </w:rPr>
        <w:t xml:space="preserve"> the parent/guardian or their</w:t>
      </w:r>
      <w:r w:rsidR="000B4514" w:rsidRPr="000B4514">
        <w:rPr>
          <w:rFonts w:asciiTheme="minorHAnsi" w:hAnsiTheme="minorHAnsi" w:cstheme="minorHAnsi"/>
          <w:sz w:val="24"/>
          <w:szCs w:val="24"/>
        </w:rPr>
        <w:t xml:space="preserve"> attorney must request a hearing with the 1st Judicial District Youth Court by filing a petition or by mailing a letter to the County Attorney.</w:t>
      </w:r>
    </w:p>
    <w:p w14:paraId="4EEAF6A4" w14:textId="77777777"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Parents are exempt from paying cost of care if they meet the following criteria:</w:t>
      </w:r>
    </w:p>
    <w:p w14:paraId="2704DB01" w14:textId="77777777"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 xml:space="preserve"> </w:t>
      </w:r>
    </w:p>
    <w:p w14:paraId="00527EA6" w14:textId="3A07ECD1"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If the monthly contribution amount is less than twenty dollars ($20) as calculated by the MT automated child support guidelines</w:t>
      </w:r>
    </w:p>
    <w:p w14:paraId="77D14C24" w14:textId="076ACC1A"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If the parent’s sole source of income is Social Security Disability Income (SSDI).</w:t>
      </w:r>
    </w:p>
    <w:p w14:paraId="3362F6DE" w14:textId="13F266AF"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If the parent/guardian is a one-half to full-time student in a course of study designed to better the parent/guardian</w:t>
      </w:r>
      <w:r w:rsidR="0089752D">
        <w:rPr>
          <w:rFonts w:asciiTheme="minorHAnsi" w:hAnsiTheme="minorHAnsi" w:cstheme="minorHAnsi"/>
          <w:sz w:val="24"/>
          <w:szCs w:val="24"/>
        </w:rPr>
        <w:t>’s</w:t>
      </w:r>
      <w:r w:rsidRPr="000B4514">
        <w:rPr>
          <w:rFonts w:asciiTheme="minorHAnsi" w:hAnsiTheme="minorHAnsi" w:cstheme="minorHAnsi"/>
          <w:sz w:val="24"/>
          <w:szCs w:val="24"/>
        </w:rPr>
        <w:t xml:space="preserve"> economic situation</w:t>
      </w:r>
      <w:r w:rsidR="0089752D">
        <w:rPr>
          <w:rFonts w:asciiTheme="minorHAnsi" w:hAnsiTheme="minorHAnsi" w:cstheme="minorHAnsi"/>
          <w:sz w:val="24"/>
          <w:szCs w:val="24"/>
        </w:rPr>
        <w:t>,</w:t>
      </w:r>
      <w:r w:rsidRPr="000B4514">
        <w:rPr>
          <w:rFonts w:asciiTheme="minorHAnsi" w:hAnsiTheme="minorHAnsi" w:cstheme="minorHAnsi"/>
          <w:sz w:val="24"/>
          <w:szCs w:val="24"/>
        </w:rPr>
        <w:t xml:space="preserve"> they are exempt while in school.</w:t>
      </w:r>
    </w:p>
    <w:p w14:paraId="76A57930" w14:textId="56DDE271"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If an unusual emotional and or physical need of a legal dependent require</w:t>
      </w:r>
      <w:r w:rsidR="0089752D">
        <w:rPr>
          <w:rFonts w:asciiTheme="minorHAnsi" w:hAnsiTheme="minorHAnsi" w:cstheme="minorHAnsi"/>
          <w:sz w:val="24"/>
          <w:szCs w:val="24"/>
        </w:rPr>
        <w:t>s</w:t>
      </w:r>
      <w:r w:rsidRPr="000B4514">
        <w:rPr>
          <w:rFonts w:asciiTheme="minorHAnsi" w:hAnsiTheme="minorHAnsi" w:cstheme="minorHAnsi"/>
          <w:sz w:val="24"/>
          <w:szCs w:val="24"/>
        </w:rPr>
        <w:t xml:space="preserve"> the parent/guardian’s presence in the home full time or (b) the parent/guardian has made diligent efforts to find and accept suitable work to return to customary self-employment to no avail</w:t>
      </w:r>
      <w:r w:rsidR="0089752D">
        <w:rPr>
          <w:rFonts w:asciiTheme="minorHAnsi" w:hAnsiTheme="minorHAnsi" w:cstheme="minorHAnsi"/>
          <w:sz w:val="24"/>
          <w:szCs w:val="24"/>
        </w:rPr>
        <w:t>, a</w:t>
      </w:r>
      <w:r w:rsidRPr="000B4514">
        <w:rPr>
          <w:rFonts w:asciiTheme="minorHAnsi" w:hAnsiTheme="minorHAnsi" w:cstheme="minorHAnsi"/>
          <w:sz w:val="24"/>
          <w:szCs w:val="24"/>
        </w:rPr>
        <w:t>ppropriate documentation from the parent/legal guardian supporting the unusual circumstance must be obtained.</w:t>
      </w:r>
    </w:p>
    <w:p w14:paraId="45271EC6" w14:textId="7BA51519"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If the legal guardian/s became legal caretakers for the youth after the youth offended, or it was known the youth was troubled and the legal guardians were not primarily responsible for the youth’s pre-adolescent environment and supervision.</w:t>
      </w:r>
    </w:p>
    <w:p w14:paraId="08D460FC" w14:textId="0E211133"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If the parent/legal guardian is receiving TANF or SNAP benefits he/she is exempt from contributing toward the cost of care.</w:t>
      </w:r>
    </w:p>
    <w:p w14:paraId="05B92314" w14:textId="4C9F9AAA" w:rsidR="000B4514" w:rsidRPr="000B4514" w:rsidRDefault="000B4514" w:rsidP="000B4514">
      <w:pPr>
        <w:ind w:left="0"/>
        <w:rPr>
          <w:rFonts w:asciiTheme="minorHAnsi" w:hAnsiTheme="minorHAnsi" w:cstheme="minorHAnsi"/>
          <w:sz w:val="24"/>
          <w:szCs w:val="24"/>
        </w:rPr>
      </w:pPr>
      <w:r w:rsidRPr="000B4514">
        <w:rPr>
          <w:rFonts w:asciiTheme="minorHAnsi" w:hAnsiTheme="minorHAnsi" w:cstheme="minorHAnsi"/>
          <w:sz w:val="24"/>
          <w:szCs w:val="24"/>
        </w:rPr>
        <w:t>-</w:t>
      </w:r>
      <w:r w:rsidR="00DC5FA9">
        <w:rPr>
          <w:rFonts w:asciiTheme="minorHAnsi" w:hAnsiTheme="minorHAnsi" w:cstheme="minorHAnsi"/>
          <w:sz w:val="24"/>
          <w:szCs w:val="24"/>
        </w:rPr>
        <w:t xml:space="preserve"> </w:t>
      </w:r>
      <w:r w:rsidRPr="000B4514">
        <w:rPr>
          <w:rFonts w:asciiTheme="minorHAnsi" w:hAnsiTheme="minorHAnsi" w:cstheme="minorHAnsi"/>
          <w:sz w:val="24"/>
          <w:szCs w:val="24"/>
        </w:rPr>
        <w:t xml:space="preserve">If the parent/legal guardian is in prison at the time the youth </w:t>
      </w:r>
      <w:proofErr w:type="gramStart"/>
      <w:r w:rsidRPr="000B4514">
        <w:rPr>
          <w:rFonts w:asciiTheme="minorHAnsi" w:hAnsiTheme="minorHAnsi" w:cstheme="minorHAnsi"/>
          <w:sz w:val="24"/>
          <w:szCs w:val="24"/>
        </w:rPr>
        <w:t>goes</w:t>
      </w:r>
      <w:proofErr w:type="gramEnd"/>
      <w:r w:rsidRPr="000B4514">
        <w:rPr>
          <w:rFonts w:asciiTheme="minorHAnsi" w:hAnsiTheme="minorHAnsi" w:cstheme="minorHAnsi"/>
          <w:sz w:val="24"/>
          <w:szCs w:val="24"/>
        </w:rPr>
        <w:t xml:space="preserve"> into placement. When and if they are released</w:t>
      </w:r>
      <w:r w:rsidR="0089752D">
        <w:rPr>
          <w:rFonts w:asciiTheme="minorHAnsi" w:hAnsiTheme="minorHAnsi" w:cstheme="minorHAnsi"/>
          <w:sz w:val="24"/>
          <w:szCs w:val="24"/>
        </w:rPr>
        <w:t>,</w:t>
      </w:r>
      <w:r w:rsidRPr="000B4514">
        <w:rPr>
          <w:rFonts w:asciiTheme="minorHAnsi" w:hAnsiTheme="minorHAnsi" w:cstheme="minorHAnsi"/>
          <w:sz w:val="24"/>
          <w:szCs w:val="24"/>
        </w:rPr>
        <w:t xml:space="preserve"> and </w:t>
      </w:r>
      <w:r w:rsidR="0089752D">
        <w:rPr>
          <w:rFonts w:asciiTheme="minorHAnsi" w:hAnsiTheme="minorHAnsi" w:cstheme="minorHAnsi"/>
          <w:sz w:val="24"/>
          <w:szCs w:val="24"/>
        </w:rPr>
        <w:t xml:space="preserve">if </w:t>
      </w:r>
      <w:r w:rsidRPr="000B4514">
        <w:rPr>
          <w:rFonts w:asciiTheme="minorHAnsi" w:hAnsiTheme="minorHAnsi" w:cstheme="minorHAnsi"/>
          <w:sz w:val="24"/>
          <w:szCs w:val="24"/>
        </w:rPr>
        <w:t>the youth is still in placement, the process to calculate cost of care will begin.</w:t>
      </w:r>
    </w:p>
    <w:p w14:paraId="23C4ECD2" w14:textId="77777777" w:rsidR="00773FA1" w:rsidRPr="000B4514" w:rsidRDefault="00773FA1" w:rsidP="000B4514">
      <w:pPr>
        <w:spacing w:after="160"/>
        <w:ind w:left="0" w:right="0"/>
        <w:rPr>
          <w:rFonts w:asciiTheme="minorHAnsi" w:eastAsia="Calibri" w:hAnsiTheme="minorHAnsi" w:cstheme="minorHAnsi"/>
          <w:color w:val="auto"/>
          <w:kern w:val="0"/>
          <w:sz w:val="24"/>
          <w:szCs w:val="24"/>
        </w:rPr>
      </w:pPr>
    </w:p>
    <w:p w14:paraId="401E585F" w14:textId="7AA4EA7E" w:rsidR="00D8103F" w:rsidRPr="000B4514" w:rsidRDefault="00927306" w:rsidP="000B4514">
      <w:pPr>
        <w:spacing w:after="160"/>
        <w:ind w:left="0" w:right="0"/>
        <w:rPr>
          <w:rFonts w:asciiTheme="minorHAnsi" w:eastAsia="Calibri" w:hAnsiTheme="minorHAnsi" w:cstheme="minorHAnsi"/>
          <w:color w:val="auto"/>
          <w:kern w:val="0"/>
          <w:sz w:val="24"/>
          <w:szCs w:val="24"/>
        </w:rPr>
      </w:pPr>
      <w:r w:rsidRPr="000B4514">
        <w:rPr>
          <w:rFonts w:asciiTheme="minorHAnsi" w:eastAsia="Calibri" w:hAnsiTheme="minorHAnsi" w:cstheme="minorHAnsi"/>
          <w:color w:val="auto"/>
          <w:kern w:val="0"/>
          <w:sz w:val="24"/>
          <w:szCs w:val="24"/>
        </w:rPr>
        <w:t xml:space="preserve">Thank you for reaching out. Please let us know if there is anything else we can do to assist in this request. </w:t>
      </w:r>
    </w:p>
    <w:p w14:paraId="1761A4A9" w14:textId="77777777" w:rsidR="00D8103F" w:rsidRPr="000B4514" w:rsidRDefault="00D8103F" w:rsidP="000B4514">
      <w:pPr>
        <w:spacing w:after="160"/>
        <w:ind w:left="0" w:right="0"/>
        <w:rPr>
          <w:rFonts w:asciiTheme="minorHAnsi" w:eastAsia="Calibri" w:hAnsiTheme="minorHAnsi" w:cstheme="minorHAnsi"/>
          <w:color w:val="auto"/>
          <w:kern w:val="0"/>
          <w:sz w:val="24"/>
          <w:szCs w:val="24"/>
        </w:rPr>
      </w:pPr>
    </w:p>
    <w:p w14:paraId="5AC40525" w14:textId="05AD5BE1" w:rsidR="00927306" w:rsidRPr="000B4514" w:rsidRDefault="00927306" w:rsidP="000B4514">
      <w:pPr>
        <w:spacing w:after="160"/>
        <w:ind w:left="0" w:right="0"/>
        <w:rPr>
          <w:rFonts w:asciiTheme="minorHAnsi" w:eastAsia="Calibri" w:hAnsiTheme="minorHAnsi" w:cstheme="minorHAnsi"/>
          <w:color w:val="auto"/>
          <w:kern w:val="0"/>
          <w:sz w:val="24"/>
          <w:szCs w:val="24"/>
        </w:rPr>
      </w:pPr>
      <w:r w:rsidRPr="000B4514">
        <w:rPr>
          <w:rFonts w:asciiTheme="minorHAnsi" w:eastAsia="Calibri" w:hAnsiTheme="minorHAnsi" w:cstheme="minorHAnsi"/>
          <w:color w:val="auto"/>
          <w:kern w:val="0"/>
          <w:sz w:val="24"/>
          <w:szCs w:val="24"/>
        </w:rPr>
        <w:t xml:space="preserve">Sincerely, </w:t>
      </w:r>
    </w:p>
    <w:p w14:paraId="66AA6AED" w14:textId="637B1F9C" w:rsidR="00927306" w:rsidRPr="000B4514" w:rsidRDefault="00927306" w:rsidP="000B4514">
      <w:pPr>
        <w:spacing w:after="160"/>
        <w:ind w:left="0" w:right="0"/>
        <w:rPr>
          <w:rFonts w:asciiTheme="minorHAnsi" w:eastAsia="Calibri" w:hAnsiTheme="minorHAnsi" w:cstheme="minorHAnsi"/>
          <w:color w:val="auto"/>
          <w:kern w:val="0"/>
          <w:sz w:val="24"/>
          <w:szCs w:val="24"/>
        </w:rPr>
      </w:pPr>
      <w:r w:rsidRPr="000B4514">
        <w:rPr>
          <w:rFonts w:asciiTheme="minorHAnsi" w:eastAsia="Calibri" w:hAnsiTheme="minorHAnsi" w:cstheme="minorHAnsi"/>
          <w:color w:val="auto"/>
          <w:kern w:val="0"/>
          <w:sz w:val="24"/>
          <w:szCs w:val="24"/>
        </w:rPr>
        <w:t>Alexandria Klapmeier</w:t>
      </w:r>
    </w:p>
    <w:p w14:paraId="057886E1" w14:textId="30706364" w:rsidR="00927306" w:rsidRPr="000B4514" w:rsidRDefault="00927306" w:rsidP="000B4514">
      <w:pPr>
        <w:spacing w:after="160"/>
        <w:ind w:left="0" w:right="0"/>
        <w:rPr>
          <w:rFonts w:asciiTheme="minorHAnsi" w:eastAsia="Calibri" w:hAnsiTheme="minorHAnsi" w:cstheme="minorHAnsi"/>
          <w:color w:val="auto"/>
          <w:kern w:val="0"/>
          <w:sz w:val="24"/>
          <w:szCs w:val="24"/>
        </w:rPr>
      </w:pPr>
      <w:r w:rsidRPr="000B4514">
        <w:rPr>
          <w:rFonts w:asciiTheme="minorHAnsi" w:eastAsia="Calibri" w:hAnsiTheme="minorHAnsi" w:cstheme="minorHAnsi"/>
          <w:color w:val="auto"/>
          <w:kern w:val="0"/>
          <w:sz w:val="24"/>
          <w:szCs w:val="24"/>
        </w:rPr>
        <w:t xml:space="preserve">Public Information Officer </w:t>
      </w:r>
    </w:p>
    <w:p w14:paraId="62A1AFCB" w14:textId="47A6E505" w:rsidR="00927306" w:rsidRPr="000B4514" w:rsidRDefault="00927306" w:rsidP="000B4514">
      <w:pPr>
        <w:spacing w:after="160"/>
        <w:ind w:left="0" w:right="0"/>
        <w:rPr>
          <w:rFonts w:asciiTheme="minorHAnsi" w:eastAsia="Calibri" w:hAnsiTheme="minorHAnsi" w:cstheme="minorHAnsi"/>
          <w:color w:val="auto"/>
          <w:kern w:val="0"/>
          <w:sz w:val="24"/>
          <w:szCs w:val="24"/>
        </w:rPr>
      </w:pPr>
      <w:r w:rsidRPr="000B4514">
        <w:rPr>
          <w:rFonts w:asciiTheme="minorHAnsi" w:eastAsia="Calibri" w:hAnsiTheme="minorHAnsi" w:cstheme="minorHAnsi"/>
          <w:color w:val="auto"/>
          <w:kern w:val="0"/>
          <w:sz w:val="24"/>
          <w:szCs w:val="24"/>
        </w:rPr>
        <w:t xml:space="preserve">5 S. Last Chance Gulch </w:t>
      </w:r>
    </w:p>
    <w:p w14:paraId="68ACD1B2" w14:textId="1340DE5A" w:rsidR="00927306" w:rsidRPr="000B4514" w:rsidRDefault="00927306" w:rsidP="000B4514">
      <w:pPr>
        <w:spacing w:after="160"/>
        <w:ind w:left="0" w:right="0"/>
        <w:rPr>
          <w:rFonts w:asciiTheme="minorHAnsi" w:eastAsia="Calibri" w:hAnsiTheme="minorHAnsi" w:cstheme="minorHAnsi"/>
          <w:color w:val="auto"/>
          <w:kern w:val="0"/>
          <w:sz w:val="24"/>
          <w:szCs w:val="24"/>
        </w:rPr>
      </w:pPr>
      <w:r w:rsidRPr="000B4514">
        <w:rPr>
          <w:rFonts w:asciiTheme="minorHAnsi" w:eastAsia="Calibri" w:hAnsiTheme="minorHAnsi" w:cstheme="minorHAnsi"/>
          <w:color w:val="auto"/>
          <w:kern w:val="0"/>
          <w:sz w:val="24"/>
          <w:szCs w:val="24"/>
        </w:rPr>
        <w:t xml:space="preserve">Helena, MT 59620 </w:t>
      </w:r>
    </w:p>
    <w:p w14:paraId="50D587C9" w14:textId="54BDF04E" w:rsidR="006B4B28" w:rsidRPr="000B4514" w:rsidRDefault="00927306" w:rsidP="000B4514">
      <w:pPr>
        <w:spacing w:after="160"/>
        <w:ind w:left="0" w:right="0"/>
        <w:rPr>
          <w:rFonts w:asciiTheme="minorHAnsi" w:eastAsia="Calibri" w:hAnsiTheme="minorHAnsi" w:cstheme="minorHAnsi"/>
          <w:color w:val="auto"/>
          <w:kern w:val="0"/>
          <w:sz w:val="24"/>
          <w:szCs w:val="24"/>
        </w:rPr>
      </w:pPr>
      <w:r w:rsidRPr="000B4514">
        <w:rPr>
          <w:rFonts w:asciiTheme="minorHAnsi" w:eastAsia="Calibri" w:hAnsiTheme="minorHAnsi" w:cstheme="minorHAnsi"/>
          <w:color w:val="auto"/>
          <w:kern w:val="0"/>
          <w:sz w:val="24"/>
          <w:szCs w:val="24"/>
        </w:rPr>
        <w:t>(406) 444-0333</w:t>
      </w:r>
      <w:r w:rsidR="00D8103F" w:rsidRPr="000B4514">
        <w:rPr>
          <w:rFonts w:asciiTheme="minorHAnsi" w:eastAsia="Calibri" w:hAnsiTheme="minorHAnsi" w:cstheme="minorHAnsi"/>
          <w:color w:val="auto"/>
          <w:kern w:val="0"/>
          <w:sz w:val="24"/>
          <w:szCs w:val="24"/>
        </w:rPr>
        <w:t xml:space="preserve">, </w:t>
      </w:r>
      <w:hyperlink r:id="rId11" w:history="1">
        <w:r w:rsidR="00D8103F" w:rsidRPr="000B4514">
          <w:rPr>
            <w:rStyle w:val="Hyperlink"/>
            <w:rFonts w:asciiTheme="minorHAnsi" w:eastAsia="Calibri" w:hAnsiTheme="minorHAnsi" w:cstheme="minorHAnsi"/>
            <w:kern w:val="0"/>
            <w:sz w:val="24"/>
            <w:szCs w:val="24"/>
          </w:rPr>
          <w:t>Alexandria.Klapmeier@mt.gov</w:t>
        </w:r>
      </w:hyperlink>
      <w:r w:rsidRPr="000B4514">
        <w:rPr>
          <w:rFonts w:asciiTheme="minorHAnsi" w:eastAsia="Calibri" w:hAnsiTheme="minorHAnsi" w:cstheme="minorHAnsi"/>
          <w:color w:val="auto"/>
          <w:kern w:val="0"/>
          <w:sz w:val="24"/>
          <w:szCs w:val="24"/>
        </w:rPr>
        <w:t xml:space="preserve"> </w:t>
      </w:r>
    </w:p>
    <w:sectPr w:rsidR="006B4B28" w:rsidRPr="000B4514" w:rsidSect="00BB73F3">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A53F" w14:textId="77777777" w:rsidR="00E216DC" w:rsidRDefault="00E216DC" w:rsidP="00AA218F">
      <w:r>
        <w:separator/>
      </w:r>
    </w:p>
  </w:endnote>
  <w:endnote w:type="continuationSeparator" w:id="0">
    <w:p w14:paraId="559F5A2E" w14:textId="77777777" w:rsidR="00E216DC" w:rsidRDefault="00E216DC" w:rsidP="00AA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52EC" w14:textId="77777777" w:rsidR="00D92A2D" w:rsidRDefault="00D92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9621" w14:textId="66A1F581" w:rsidR="006F7FCD" w:rsidRPr="006F7FCD" w:rsidRDefault="006F7FCD" w:rsidP="006F7FCD">
    <w:pPr>
      <w:widowControl w:val="0"/>
      <w:tabs>
        <w:tab w:val="right" w:pos="10800"/>
      </w:tabs>
      <w:ind w:left="0" w:right="0"/>
      <w:rPr>
        <w:rFonts w:ascii="Arial" w:hAnsi="Arial" w:cs="Arial"/>
        <w:b/>
        <w:bCs/>
        <w:color w:val="132048"/>
        <w:sz w:val="18"/>
        <w:szCs w:val="18"/>
      </w:rPr>
    </w:pPr>
    <w:r w:rsidRPr="006F7FCD">
      <w:rPr>
        <w:rFonts w:ascii="Arial" w:hAnsi="Arial" w:cs="Arial"/>
        <w:b/>
        <w:bCs/>
        <w:noProof/>
        <w:color w:val="132048"/>
        <w:sz w:val="18"/>
        <w:szCs w:val="18"/>
      </w:rPr>
      <mc:AlternateContent>
        <mc:Choice Requires="wps">
          <w:drawing>
            <wp:anchor distT="0" distB="0" distL="114300" distR="114300" simplePos="0" relativeHeight="251672576" behindDoc="0" locked="0" layoutInCell="1" allowOverlap="1" wp14:anchorId="765850A4" wp14:editId="6E544A60">
              <wp:simplePos x="0" y="0"/>
              <wp:positionH relativeFrom="page">
                <wp:posOffset>457200</wp:posOffset>
              </wp:positionH>
              <wp:positionV relativeFrom="paragraph">
                <wp:posOffset>-38554</wp:posOffset>
              </wp:positionV>
              <wp:extent cx="6863443" cy="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3443" cy="0"/>
                      </a:xfrm>
                      <a:prstGeom prst="straightConnector1">
                        <a:avLst/>
                      </a:prstGeom>
                      <a:noFill/>
                      <a:ln w="6350">
                        <a:solidFill>
                          <a:srgbClr val="1320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E89A3D2">
            <v:shapetype id="_x0000_t32" coordsize="21600,21600" o:oned="t" filled="f" o:spt="32" path="m,l21600,21600e" w14:anchorId="430FEC23">
              <v:path fillok="f" arrowok="t" o:connecttype="none"/>
              <o:lock v:ext="edit" shapetype="t"/>
            </v:shapetype>
            <v:shape id="AutoShape 5" style="position:absolute;margin-left:36pt;margin-top:-3.05pt;width:540.45pt;height:0;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132048"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">
              <w10:wrap anchorx="page"/>
            </v:shape>
          </w:pict>
        </mc:Fallback>
      </mc:AlternateContent>
    </w:r>
    <w:r w:rsidRPr="006F7FCD">
      <w:rPr>
        <w:rFonts w:ascii="Arial" w:hAnsi="Arial" w:cs="Arial"/>
        <w:b/>
        <w:bCs/>
        <w:color w:val="132048"/>
        <w:sz w:val="18"/>
        <w:szCs w:val="18"/>
      </w:rPr>
      <w:t>5 South Last Chance Gulch</w:t>
    </w:r>
    <w:r w:rsidRPr="006F7FCD">
      <w:rPr>
        <w:rFonts w:ascii="Arial" w:hAnsi="Arial" w:cs="Arial"/>
        <w:b/>
        <w:bCs/>
        <w:color w:val="132048"/>
        <w:sz w:val="18"/>
        <w:szCs w:val="18"/>
      </w:rPr>
      <w:tab/>
      <w:t>Phone: (406) 444-3930</w:t>
    </w:r>
  </w:p>
  <w:p w14:paraId="50511587" w14:textId="26726C24" w:rsidR="006F7FCD" w:rsidRPr="006F7FCD" w:rsidRDefault="006F7FCD" w:rsidP="006F7FCD">
    <w:pPr>
      <w:widowControl w:val="0"/>
      <w:tabs>
        <w:tab w:val="right" w:pos="10800"/>
      </w:tabs>
      <w:ind w:left="0" w:right="0"/>
      <w:rPr>
        <w:rFonts w:ascii="Arial" w:hAnsi="Arial" w:cs="Arial"/>
        <w:b/>
        <w:bCs/>
        <w:color w:val="132048"/>
        <w:sz w:val="18"/>
        <w:szCs w:val="18"/>
      </w:rPr>
    </w:pPr>
    <w:r w:rsidRPr="006F7FCD">
      <w:rPr>
        <w:rFonts w:ascii="Arial" w:hAnsi="Arial" w:cs="Arial"/>
        <w:b/>
        <w:bCs/>
        <w:color w:val="132048"/>
        <w:sz w:val="18"/>
        <w:szCs w:val="18"/>
      </w:rPr>
      <w:t>PO Box 201301</w:t>
    </w:r>
    <w:r w:rsidRPr="006F7FCD">
      <w:rPr>
        <w:rFonts w:ascii="Arial" w:hAnsi="Arial" w:cs="Arial"/>
        <w:b/>
        <w:bCs/>
        <w:color w:val="132048"/>
        <w:sz w:val="18"/>
        <w:szCs w:val="18"/>
      </w:rPr>
      <w:tab/>
      <w:t>Fax: (406) 444-4920</w:t>
    </w:r>
  </w:p>
  <w:p w14:paraId="51B3B5F5" w14:textId="6D3609E0" w:rsidR="006F7FCD" w:rsidRPr="006F7FCD" w:rsidRDefault="006F7FCD" w:rsidP="006F7FCD">
    <w:pPr>
      <w:widowControl w:val="0"/>
      <w:tabs>
        <w:tab w:val="right" w:pos="10800"/>
      </w:tabs>
      <w:ind w:left="0" w:right="0"/>
      <w:rPr>
        <w:rFonts w:ascii="Arial" w:hAnsi="Arial" w:cs="Arial"/>
        <w:b/>
        <w:bCs/>
        <w:color w:val="132048"/>
        <w:sz w:val="18"/>
        <w:szCs w:val="18"/>
      </w:rPr>
    </w:pPr>
    <w:r w:rsidRPr="006F7FCD">
      <w:rPr>
        <w:rFonts w:ascii="Arial" w:hAnsi="Arial" w:cs="Arial"/>
        <w:b/>
        <w:bCs/>
        <w:color w:val="132048"/>
        <w:sz w:val="18"/>
        <w:szCs w:val="18"/>
      </w:rPr>
      <w:t>Helena, MT 59620-1301</w:t>
    </w:r>
    <w:r w:rsidRPr="006F7FCD">
      <w:rPr>
        <w:rFonts w:ascii="Arial" w:hAnsi="Arial" w:cs="Arial"/>
        <w:b/>
        <w:bCs/>
        <w:color w:val="132048"/>
        <w:sz w:val="18"/>
        <w:szCs w:val="18"/>
      </w:rPr>
      <w:tab/>
      <w:t>www.cor.mt.gov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7725" w14:textId="0D269056" w:rsidR="00AD305B" w:rsidRPr="006F7FCD" w:rsidRDefault="00AD305B" w:rsidP="003059DB">
    <w:pPr>
      <w:widowControl w:val="0"/>
      <w:tabs>
        <w:tab w:val="right" w:pos="10800"/>
      </w:tabs>
      <w:ind w:left="0" w:right="0"/>
      <w:rPr>
        <w:rFonts w:ascii="Arial" w:hAnsi="Arial" w:cs="Arial"/>
        <w:b/>
        <w:bCs/>
        <w:color w:val="132048"/>
        <w:sz w:val="18"/>
        <w:szCs w:val="18"/>
      </w:rPr>
    </w:pPr>
    <w:r w:rsidRPr="006F7FCD">
      <w:rPr>
        <w:rFonts w:ascii="Arial" w:hAnsi="Arial" w:cs="Arial"/>
        <w:b/>
        <w:bCs/>
        <w:noProof/>
        <w:color w:val="132048"/>
        <w:sz w:val="18"/>
        <w:szCs w:val="18"/>
      </w:rPr>
      <mc:AlternateContent>
        <mc:Choice Requires="wps">
          <w:drawing>
            <wp:anchor distT="0" distB="0" distL="114300" distR="114300" simplePos="0" relativeHeight="251666432" behindDoc="0" locked="0" layoutInCell="1" allowOverlap="1" wp14:anchorId="2247D79F" wp14:editId="1B7BDFE7">
              <wp:simplePos x="0" y="0"/>
              <wp:positionH relativeFrom="page">
                <wp:posOffset>457200</wp:posOffset>
              </wp:positionH>
              <wp:positionV relativeFrom="paragraph">
                <wp:posOffset>-38554</wp:posOffset>
              </wp:positionV>
              <wp:extent cx="6863443"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3443" cy="0"/>
                      </a:xfrm>
                      <a:prstGeom prst="straightConnector1">
                        <a:avLst/>
                      </a:prstGeom>
                      <a:noFill/>
                      <a:ln w="6350">
                        <a:solidFill>
                          <a:srgbClr val="1320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643FD1D">
            <v:shapetype id="_x0000_t32" coordsize="21600,21600" o:oned="t" filled="f" o:spt="32" path="m,l21600,21600e" w14:anchorId="6A950DF7">
              <v:path fillok="f" arrowok="t" o:connecttype="none"/>
              <o:lock v:ext="edit" shapetype="t"/>
            </v:shapetype>
            <v:shape id="AutoShape 5" style="position:absolute;margin-left:36pt;margin-top:-3.05pt;width:540.45pt;height:0;flip:y;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132048"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">
              <w10:wrap anchorx="page"/>
            </v:shape>
          </w:pict>
        </mc:Fallback>
      </mc:AlternateContent>
    </w:r>
    <w:r w:rsidRPr="006F7FCD">
      <w:rPr>
        <w:rFonts w:ascii="Arial" w:hAnsi="Arial" w:cs="Arial"/>
        <w:b/>
        <w:bCs/>
        <w:color w:val="132048"/>
        <w:sz w:val="18"/>
        <w:szCs w:val="18"/>
      </w:rPr>
      <w:t>5 South Last Chance Gulch</w:t>
    </w:r>
    <w:r w:rsidRPr="006F7FCD">
      <w:rPr>
        <w:rFonts w:ascii="Arial" w:hAnsi="Arial" w:cs="Arial"/>
        <w:b/>
        <w:bCs/>
        <w:color w:val="132048"/>
        <w:sz w:val="18"/>
        <w:szCs w:val="18"/>
      </w:rPr>
      <w:tab/>
      <w:t>Phone: (406) 444-3930</w:t>
    </w:r>
  </w:p>
  <w:p w14:paraId="17879FFC" w14:textId="2D03BA28" w:rsidR="00AD305B" w:rsidRPr="006F7FCD" w:rsidRDefault="00AD305B" w:rsidP="0076237D">
    <w:pPr>
      <w:widowControl w:val="0"/>
      <w:tabs>
        <w:tab w:val="left" w:pos="3591"/>
        <w:tab w:val="right" w:pos="10800"/>
      </w:tabs>
      <w:ind w:left="0" w:right="0"/>
      <w:rPr>
        <w:rFonts w:ascii="Arial" w:hAnsi="Arial" w:cs="Arial"/>
        <w:b/>
        <w:bCs/>
        <w:color w:val="132048"/>
        <w:sz w:val="18"/>
        <w:szCs w:val="18"/>
      </w:rPr>
    </w:pPr>
    <w:r w:rsidRPr="006F7FCD">
      <w:rPr>
        <w:rFonts w:ascii="Arial" w:hAnsi="Arial" w:cs="Arial"/>
        <w:b/>
        <w:bCs/>
        <w:color w:val="132048"/>
        <w:sz w:val="18"/>
        <w:szCs w:val="18"/>
      </w:rPr>
      <w:t>PO Box 201301</w:t>
    </w:r>
    <w:r w:rsidRPr="006F7FCD">
      <w:rPr>
        <w:rFonts w:ascii="Arial" w:hAnsi="Arial" w:cs="Arial"/>
        <w:b/>
        <w:bCs/>
        <w:color w:val="132048"/>
        <w:sz w:val="18"/>
        <w:szCs w:val="18"/>
      </w:rPr>
      <w:tab/>
    </w:r>
    <w:r w:rsidR="0076237D">
      <w:rPr>
        <w:rFonts w:ascii="Arial" w:hAnsi="Arial" w:cs="Arial"/>
        <w:b/>
        <w:bCs/>
        <w:color w:val="132048"/>
        <w:sz w:val="18"/>
        <w:szCs w:val="18"/>
      </w:rPr>
      <w:tab/>
    </w:r>
    <w:r w:rsidRPr="006F7FCD">
      <w:rPr>
        <w:rFonts w:ascii="Arial" w:hAnsi="Arial" w:cs="Arial"/>
        <w:b/>
        <w:bCs/>
        <w:color w:val="132048"/>
        <w:sz w:val="18"/>
        <w:szCs w:val="18"/>
      </w:rPr>
      <w:t>Fax: (406) 444-4920</w:t>
    </w:r>
  </w:p>
  <w:p w14:paraId="49113C58" w14:textId="6BAD8FA5" w:rsidR="00AD305B" w:rsidRPr="006F7FCD" w:rsidRDefault="00AD305B" w:rsidP="003059DB">
    <w:pPr>
      <w:widowControl w:val="0"/>
      <w:tabs>
        <w:tab w:val="right" w:pos="10800"/>
      </w:tabs>
      <w:ind w:left="0" w:right="0"/>
      <w:rPr>
        <w:rFonts w:ascii="Arial" w:hAnsi="Arial" w:cs="Arial"/>
        <w:b/>
        <w:bCs/>
        <w:color w:val="132048"/>
        <w:sz w:val="18"/>
        <w:szCs w:val="18"/>
      </w:rPr>
    </w:pPr>
    <w:r w:rsidRPr="006F7FCD">
      <w:rPr>
        <w:rFonts w:ascii="Arial" w:hAnsi="Arial" w:cs="Arial"/>
        <w:b/>
        <w:bCs/>
        <w:color w:val="132048"/>
        <w:sz w:val="18"/>
        <w:szCs w:val="18"/>
      </w:rPr>
      <w:t>Helena, MT 59620-1301</w:t>
    </w:r>
    <w:r w:rsidRPr="006F7FCD">
      <w:rPr>
        <w:rFonts w:ascii="Arial" w:hAnsi="Arial" w:cs="Arial"/>
        <w:b/>
        <w:bCs/>
        <w:color w:val="132048"/>
        <w:sz w:val="18"/>
        <w:szCs w:val="18"/>
      </w:rPr>
      <w:tab/>
      <w:t>www.cor.mt.gov</w:t>
    </w:r>
  </w:p>
  <w:p w14:paraId="3544E5D8" w14:textId="0799DEE6" w:rsidR="00AD305B" w:rsidRDefault="00AD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898" w14:textId="77777777" w:rsidR="00E216DC" w:rsidRDefault="00E216DC" w:rsidP="00AA218F">
      <w:r>
        <w:separator/>
      </w:r>
    </w:p>
  </w:footnote>
  <w:footnote w:type="continuationSeparator" w:id="0">
    <w:p w14:paraId="0D6B3094" w14:textId="77777777" w:rsidR="00E216DC" w:rsidRDefault="00E216DC" w:rsidP="00AA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1DA8" w14:textId="77777777" w:rsidR="00D92A2D" w:rsidRDefault="00D92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FF16" w14:textId="6053DC5F" w:rsidR="0076237D" w:rsidRDefault="009357DB">
    <w:pPr>
      <w:pStyle w:val="Header"/>
    </w:pPr>
    <w:r>
      <w:rPr>
        <w:rFonts w:ascii="Arial" w:hAnsi="Arial" w:cs="Arial"/>
        <w:b/>
        <w:bCs/>
        <w:noProof/>
        <w:color w:val="132048"/>
        <w:sz w:val="18"/>
        <w:szCs w:val="18"/>
      </w:rPr>
      <mc:AlternateContent>
        <mc:Choice Requires="wps">
          <w:drawing>
            <wp:anchor distT="0" distB="0" distL="114300" distR="114300" simplePos="0" relativeHeight="251682816" behindDoc="0" locked="0" layoutInCell="1" allowOverlap="1" wp14:anchorId="61D1127C" wp14:editId="1CD75D64">
              <wp:simplePos x="0" y="0"/>
              <wp:positionH relativeFrom="column">
                <wp:posOffset>2975882</wp:posOffset>
              </wp:positionH>
              <wp:positionV relativeFrom="paragraph">
                <wp:posOffset>0</wp:posOffset>
              </wp:positionV>
              <wp:extent cx="930275" cy="244475"/>
              <wp:effectExtent l="0" t="0" r="3175" b="3175"/>
              <wp:wrapNone/>
              <wp:docPr id="14" name="Rectangle 14"/>
              <wp:cNvGraphicFramePr/>
              <a:graphic xmlns:a="http://schemas.openxmlformats.org/drawingml/2006/main">
                <a:graphicData uri="http://schemas.microsoft.com/office/word/2010/wordprocessingShape">
                  <wps:wsp>
                    <wps:cNvSpPr/>
                    <wps:spPr>
                      <a:xfrm>
                        <a:off x="0" y="0"/>
                        <a:ext cx="930275" cy="24447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AA8BDD">
            <v:rect id="Rectangle 14" style="position:absolute;margin-left:234.3pt;margin-top:0;width:73.25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2pt" w14:anchorId="3C3BF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"/>
          </w:pict>
        </mc:Fallback>
      </mc:AlternateContent>
    </w:r>
    <w:r>
      <w:rPr>
        <w:rFonts w:ascii="Arial" w:hAnsi="Arial" w:cs="Arial"/>
        <w:b/>
        <w:bCs/>
        <w:noProof/>
        <w:color w:val="132048"/>
        <w:sz w:val="18"/>
        <w:szCs w:val="18"/>
      </w:rPr>
      <w:drawing>
        <wp:anchor distT="0" distB="0" distL="114300" distR="114300" simplePos="0" relativeHeight="251684864" behindDoc="0" locked="0" layoutInCell="1" allowOverlap="1" wp14:anchorId="41DA69DF" wp14:editId="0C3A202D">
          <wp:simplePos x="0" y="0"/>
          <wp:positionH relativeFrom="column">
            <wp:posOffset>3047093</wp:posOffset>
          </wp:positionH>
          <wp:positionV relativeFrom="paragraph">
            <wp:posOffset>-71120</wp:posOffset>
          </wp:positionV>
          <wp:extent cx="777875" cy="387350"/>
          <wp:effectExtent l="0" t="0" r="3175" b="0"/>
          <wp:wrapNone/>
          <wp:docPr id="11" name="Picture 11"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TDOC_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777875" cy="387350"/>
                  </a:xfrm>
                  <a:prstGeom prst="rect">
                    <a:avLst/>
                  </a:prstGeom>
                </pic:spPr>
              </pic:pic>
            </a:graphicData>
          </a:graphic>
          <wp14:sizeRelH relativeFrom="margin">
            <wp14:pctWidth>0</wp14:pctWidth>
          </wp14:sizeRelH>
          <wp14:sizeRelV relativeFrom="margin">
            <wp14:pctHeight>0</wp14:pctHeight>
          </wp14:sizeRelV>
        </wp:anchor>
      </w:drawing>
    </w:r>
    <w:r w:rsidR="0076237D" w:rsidRPr="006F7FCD">
      <w:rPr>
        <w:rFonts w:ascii="Arial" w:hAnsi="Arial" w:cs="Arial"/>
        <w:b/>
        <w:bCs/>
        <w:noProof/>
        <w:color w:val="132048"/>
        <w:sz w:val="18"/>
        <w:szCs w:val="18"/>
      </w:rPr>
      <mc:AlternateContent>
        <mc:Choice Requires="wps">
          <w:drawing>
            <wp:anchor distT="0" distB="0" distL="114300" distR="114300" simplePos="0" relativeHeight="251675648" behindDoc="0" locked="0" layoutInCell="1" allowOverlap="1" wp14:anchorId="76EA2114" wp14:editId="149F2B03">
              <wp:simplePos x="0" y="0"/>
              <wp:positionH relativeFrom="page">
                <wp:posOffset>457200</wp:posOffset>
              </wp:positionH>
              <wp:positionV relativeFrom="paragraph">
                <wp:posOffset>145324</wp:posOffset>
              </wp:positionV>
              <wp:extent cx="6863443"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3443" cy="0"/>
                      </a:xfrm>
                      <a:prstGeom prst="straightConnector1">
                        <a:avLst/>
                      </a:prstGeom>
                      <a:noFill/>
                      <a:ln w="6350">
                        <a:solidFill>
                          <a:srgbClr val="1320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AAD1222">
            <v:shapetype id="_x0000_t32" coordsize="21600,21600" o:oned="t" filled="f" o:spt="32" path="m,l21600,21600e" w14:anchorId="7AB949F1">
              <v:path fillok="f" arrowok="t" o:connecttype="none"/>
              <o:lock v:ext="edit" shapetype="t"/>
            </v:shapetype>
            <v:shape id="AutoShape 5" style="position:absolute;margin-left:36pt;margin-top:11.45pt;width:540.45pt;height:0;flip: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132048"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">
              <w10:wrap anchorx="page"/>
            </v:shape>
          </w:pict>
        </mc:Fallback>
      </mc:AlternateContent>
    </w:r>
  </w:p>
  <w:p w14:paraId="230021FB" w14:textId="6B43FD93" w:rsidR="0076237D" w:rsidRDefault="00762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5780" w14:textId="73C4E4D9" w:rsidR="008344B6" w:rsidRPr="008344B6" w:rsidRDefault="006F7FCD" w:rsidP="006F7FCD">
    <w:pPr>
      <w:widowControl w:val="0"/>
      <w:tabs>
        <w:tab w:val="left" w:pos="463"/>
        <w:tab w:val="center" w:pos="5400"/>
      </w:tabs>
      <w:ind w:left="0" w:right="0"/>
      <w:rPr>
        <w:rFonts w:ascii="Palatino Linotype" w:hAnsi="Palatino Linotype"/>
        <w:b/>
        <w:bCs/>
        <w:color w:val="2E2F7A"/>
        <w:sz w:val="36"/>
        <w:szCs w:val="36"/>
      </w:rPr>
    </w:pPr>
    <w:r>
      <w:rPr>
        <w:rFonts w:ascii="Palatino Linotype" w:hAnsi="Palatino Linotype"/>
        <w:b/>
        <w:bCs/>
        <w:color w:val="2E2F7A"/>
        <w:sz w:val="36"/>
        <w:szCs w:val="36"/>
      </w:rPr>
      <w:tab/>
    </w:r>
    <w:r>
      <w:rPr>
        <w:rFonts w:ascii="Palatino Linotype" w:hAnsi="Palatino Linotype"/>
        <w:b/>
        <w:bCs/>
        <w:color w:val="2E2F7A"/>
        <w:sz w:val="36"/>
        <w:szCs w:val="36"/>
      </w:rPr>
      <w:tab/>
    </w:r>
    <w:r w:rsidR="00E0507B">
      <w:rPr>
        <w:rFonts w:ascii="Palatino Linotype" w:hAnsi="Palatino Linotype"/>
        <w:b/>
        <w:bCs/>
        <w:noProof/>
        <w:color w:val="2E2F7A"/>
        <w:sz w:val="36"/>
        <w:szCs w:val="36"/>
      </w:rPr>
      <w:drawing>
        <wp:inline distT="0" distB="0" distL="0" distR="0" wp14:anchorId="4E070932" wp14:editId="1C6AA7F6">
          <wp:extent cx="2414827" cy="1388786"/>
          <wp:effectExtent l="0" t="0" r="5080" b="190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DOC_Logo_Horizontal_DirectorsOffice.jpg"/>
                  <pic:cNvPicPr/>
                </pic:nvPicPr>
                <pic:blipFill>
                  <a:blip r:embed="rId1">
                    <a:extLst>
                      <a:ext uri="{28A0092B-C50C-407E-A947-70E740481C1C}">
                        <a14:useLocalDpi xmlns:a14="http://schemas.microsoft.com/office/drawing/2010/main" val="0"/>
                      </a:ext>
                    </a:extLst>
                  </a:blip>
                  <a:stretch>
                    <a:fillRect/>
                  </a:stretch>
                </pic:blipFill>
                <pic:spPr>
                  <a:xfrm>
                    <a:off x="0" y="0"/>
                    <a:ext cx="2497884" cy="1436553"/>
                  </a:xfrm>
                  <a:prstGeom prst="rect">
                    <a:avLst/>
                  </a:prstGeom>
                </pic:spPr>
              </pic:pic>
            </a:graphicData>
          </a:graphic>
        </wp:inline>
      </w:drawing>
    </w:r>
  </w:p>
  <w:bookmarkStart w:id="0" w:name="_Hlk60736510"/>
  <w:p w14:paraId="0D30ED70" w14:textId="5C377EBA" w:rsidR="008344B6" w:rsidRDefault="006F7FCD" w:rsidP="00BD32BF">
    <w:pPr>
      <w:widowControl w:val="0"/>
      <w:spacing w:before="120"/>
      <w:ind w:left="0" w:right="0"/>
      <w:jc w:val="center"/>
      <w:rPr>
        <w:rFonts w:ascii="Arial Black" w:hAnsi="Arial Black" w:cs="Arial"/>
        <w:b/>
        <w:bCs/>
        <w:color w:val="132048"/>
      </w:rPr>
    </w:pPr>
    <w:r w:rsidRPr="006F7FCD">
      <w:rPr>
        <w:rFonts w:ascii="Arial" w:hAnsi="Arial" w:cs="Arial"/>
        <w:b/>
        <w:bCs/>
        <w:noProof/>
        <w:color w:val="132048"/>
        <w:sz w:val="18"/>
        <w:szCs w:val="18"/>
      </w:rPr>
      <mc:AlternateContent>
        <mc:Choice Requires="wps">
          <w:drawing>
            <wp:anchor distT="0" distB="0" distL="114300" distR="114300" simplePos="0" relativeHeight="251668480" behindDoc="0" locked="0" layoutInCell="1" allowOverlap="1" wp14:anchorId="28E4DF8D" wp14:editId="04F4E180">
              <wp:simplePos x="0" y="0"/>
              <wp:positionH relativeFrom="page">
                <wp:posOffset>457200</wp:posOffset>
              </wp:positionH>
              <wp:positionV relativeFrom="paragraph">
                <wp:posOffset>378279</wp:posOffset>
              </wp:positionV>
              <wp:extent cx="6863443" cy="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3443" cy="0"/>
                      </a:xfrm>
                      <a:prstGeom prst="straightConnector1">
                        <a:avLst/>
                      </a:prstGeom>
                      <a:noFill/>
                      <a:ln w="6350">
                        <a:solidFill>
                          <a:srgbClr val="1320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CD01E80">
            <v:shapetype id="_x0000_t32" coordsize="21600,21600" o:oned="t" filled="f" o:spt="32" path="m,l21600,21600e" w14:anchorId="79E5450A">
              <v:path fillok="f" arrowok="t" o:connecttype="none"/>
              <o:lock v:ext="edit" shapetype="t"/>
            </v:shapetype>
            <v:shape id="AutoShape 5" style="position:absolute;margin-left:36pt;margin-top:29.8pt;width:540.45pt;height: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132048"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">
              <w10:wrap anchorx="page"/>
            </v:shape>
          </w:pict>
        </mc:Fallback>
      </mc:AlternateContent>
    </w:r>
    <w:r w:rsidR="00D92A2D">
      <w:rPr>
        <w:rFonts w:ascii="Arial Black" w:hAnsi="Arial Black" w:cs="Arial"/>
        <w:b/>
        <w:bCs/>
        <w:color w:val="132048"/>
      </w:rPr>
      <w:t>Greg Gianforte</w:t>
    </w:r>
    <w:r w:rsidR="00BD32BF" w:rsidRPr="00BD32BF">
      <w:rPr>
        <w:rFonts w:ascii="Arial Black" w:hAnsi="Arial Black" w:cs="Arial"/>
        <w:b/>
        <w:bCs/>
        <w:color w:val="132048"/>
      </w:rPr>
      <w:t xml:space="preserve">, Governor | </w:t>
    </w:r>
    <w:r w:rsidR="00D92A2D">
      <w:rPr>
        <w:rFonts w:ascii="Arial Black" w:hAnsi="Arial Black" w:cs="Arial"/>
        <w:b/>
        <w:bCs/>
        <w:color w:val="132048"/>
      </w:rPr>
      <w:t>Brian M. Gootkin</w:t>
    </w:r>
    <w:r w:rsidR="00BD32BF" w:rsidRPr="00BD32BF">
      <w:rPr>
        <w:rFonts w:ascii="Arial Black" w:hAnsi="Arial Black" w:cs="Arial"/>
        <w:b/>
        <w:bCs/>
        <w:color w:val="132048"/>
      </w:rPr>
      <w:t>, Director</w:t>
    </w:r>
  </w:p>
  <w:bookmarkEnd w:id="0"/>
  <w:p w14:paraId="72271B2D" w14:textId="77777777" w:rsidR="006F7FCD" w:rsidRPr="00BD32BF" w:rsidRDefault="006F7FCD" w:rsidP="00BD32BF">
    <w:pPr>
      <w:widowControl w:val="0"/>
      <w:spacing w:before="120"/>
      <w:ind w:left="0" w:right="0"/>
      <w:jc w:val="center"/>
      <w:rPr>
        <w:rFonts w:ascii="Arial Black" w:hAnsi="Arial Black" w:cs="Arial"/>
        <w:b/>
        <w:bCs/>
        <w:color w:val="1320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CE9"/>
    <w:multiLevelType w:val="hybridMultilevel"/>
    <w:tmpl w:val="C096D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43BD7"/>
    <w:multiLevelType w:val="hybridMultilevel"/>
    <w:tmpl w:val="F75C33A6"/>
    <w:lvl w:ilvl="0" w:tplc="C48CB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04600"/>
    <w:multiLevelType w:val="hybridMultilevel"/>
    <w:tmpl w:val="2DFEF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01BA2"/>
    <w:multiLevelType w:val="hybridMultilevel"/>
    <w:tmpl w:val="8326A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54EEC"/>
    <w:multiLevelType w:val="hybridMultilevel"/>
    <w:tmpl w:val="C6A09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12CC1"/>
    <w:multiLevelType w:val="hybridMultilevel"/>
    <w:tmpl w:val="5456E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21A26"/>
    <w:multiLevelType w:val="hybridMultilevel"/>
    <w:tmpl w:val="4346585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5F039B9"/>
    <w:multiLevelType w:val="multilevel"/>
    <w:tmpl w:val="43DA58D2"/>
    <w:lvl w:ilvl="0">
      <w:start w:val="1"/>
      <w:numFmt w:val="bullet"/>
      <w:lvlText w:val=""/>
      <w:lvlJc w:val="left"/>
      <w:pPr>
        <w:tabs>
          <w:tab w:val="num" w:pos="810"/>
        </w:tabs>
        <w:ind w:left="810" w:hanging="360"/>
      </w:pPr>
      <w:rPr>
        <w:rFonts w:ascii="Wingdings" w:hAnsi="Wingdings" w:hint="default"/>
        <w:sz w:val="20"/>
      </w:rPr>
    </w:lvl>
    <w:lvl w:ilvl="1" w:tentative="1">
      <w:start w:val="1"/>
      <w:numFmt w:val="bullet"/>
      <w:lvlText w:val=""/>
      <w:lvlJc w:val="left"/>
      <w:pPr>
        <w:tabs>
          <w:tab w:val="num" w:pos="1530"/>
        </w:tabs>
        <w:ind w:left="1530" w:hanging="360"/>
      </w:pPr>
      <w:rPr>
        <w:rFonts w:ascii="Wingdings" w:hAnsi="Wingdings"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8" w15:restartNumberingAfterBreak="0">
    <w:nsid w:val="497C5FCB"/>
    <w:multiLevelType w:val="hybridMultilevel"/>
    <w:tmpl w:val="D60418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E250F"/>
    <w:multiLevelType w:val="hybridMultilevel"/>
    <w:tmpl w:val="6BF891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D2A007F"/>
    <w:multiLevelType w:val="hybridMultilevel"/>
    <w:tmpl w:val="74EC0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1F2F32"/>
    <w:multiLevelType w:val="hybridMultilevel"/>
    <w:tmpl w:val="609E278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E36115E"/>
    <w:multiLevelType w:val="hybridMultilevel"/>
    <w:tmpl w:val="4D40162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17230A1"/>
    <w:multiLevelType w:val="hybridMultilevel"/>
    <w:tmpl w:val="14B83D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D36A0"/>
    <w:multiLevelType w:val="hybridMultilevel"/>
    <w:tmpl w:val="0E146F52"/>
    <w:lvl w:ilvl="0" w:tplc="0C5A3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251F0"/>
    <w:multiLevelType w:val="hybridMultilevel"/>
    <w:tmpl w:val="EC44B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031487">
    <w:abstractNumId w:val="10"/>
  </w:num>
  <w:num w:numId="2" w16cid:durableId="1441298399">
    <w:abstractNumId w:val="2"/>
  </w:num>
  <w:num w:numId="3" w16cid:durableId="636909820">
    <w:abstractNumId w:val="9"/>
  </w:num>
  <w:num w:numId="4" w16cid:durableId="35665673">
    <w:abstractNumId w:val="6"/>
  </w:num>
  <w:num w:numId="5" w16cid:durableId="1380281794">
    <w:abstractNumId w:val="11"/>
  </w:num>
  <w:num w:numId="6" w16cid:durableId="1514144144">
    <w:abstractNumId w:val="12"/>
  </w:num>
  <w:num w:numId="7" w16cid:durableId="1945310134">
    <w:abstractNumId w:val="7"/>
  </w:num>
  <w:num w:numId="8" w16cid:durableId="1755664515">
    <w:abstractNumId w:val="13"/>
  </w:num>
  <w:num w:numId="9" w16cid:durableId="1290086087">
    <w:abstractNumId w:val="8"/>
  </w:num>
  <w:num w:numId="10" w16cid:durableId="1714692131">
    <w:abstractNumId w:val="1"/>
  </w:num>
  <w:num w:numId="11" w16cid:durableId="825244062">
    <w:abstractNumId w:val="0"/>
  </w:num>
  <w:num w:numId="12" w16cid:durableId="530920837">
    <w:abstractNumId w:val="15"/>
  </w:num>
  <w:num w:numId="13" w16cid:durableId="2019690266">
    <w:abstractNumId w:val="3"/>
  </w:num>
  <w:num w:numId="14" w16cid:durableId="209608464">
    <w:abstractNumId w:val="5"/>
  </w:num>
  <w:num w:numId="15" w16cid:durableId="467549295">
    <w:abstractNumId w:val="4"/>
  </w:num>
  <w:num w:numId="16" w16cid:durableId="15680312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45"/>
    <w:rsid w:val="000235CC"/>
    <w:rsid w:val="00052FF3"/>
    <w:rsid w:val="00061D0B"/>
    <w:rsid w:val="00093EA8"/>
    <w:rsid w:val="000B4514"/>
    <w:rsid w:val="000B7C59"/>
    <w:rsid w:val="000E0097"/>
    <w:rsid w:val="000E0371"/>
    <w:rsid w:val="000F429C"/>
    <w:rsid w:val="00106A75"/>
    <w:rsid w:val="00114C78"/>
    <w:rsid w:val="00135CFF"/>
    <w:rsid w:val="00175345"/>
    <w:rsid w:val="00196D19"/>
    <w:rsid w:val="001C685B"/>
    <w:rsid w:val="001E3D16"/>
    <w:rsid w:val="002212A0"/>
    <w:rsid w:val="00221D6C"/>
    <w:rsid w:val="00271A7F"/>
    <w:rsid w:val="00273375"/>
    <w:rsid w:val="002769EE"/>
    <w:rsid w:val="00296B79"/>
    <w:rsid w:val="0029782C"/>
    <w:rsid w:val="002A6447"/>
    <w:rsid w:val="002B6EB0"/>
    <w:rsid w:val="002B7253"/>
    <w:rsid w:val="002F7BF0"/>
    <w:rsid w:val="003057E7"/>
    <w:rsid w:val="003059DB"/>
    <w:rsid w:val="003510D1"/>
    <w:rsid w:val="00382E71"/>
    <w:rsid w:val="00393E1B"/>
    <w:rsid w:val="003B37C9"/>
    <w:rsid w:val="003B753C"/>
    <w:rsid w:val="003E36B2"/>
    <w:rsid w:val="003E4C4B"/>
    <w:rsid w:val="004545CA"/>
    <w:rsid w:val="004704F8"/>
    <w:rsid w:val="00492E11"/>
    <w:rsid w:val="004B48A4"/>
    <w:rsid w:val="004C0EF5"/>
    <w:rsid w:val="004C69DD"/>
    <w:rsid w:val="00504621"/>
    <w:rsid w:val="00521998"/>
    <w:rsid w:val="00554A29"/>
    <w:rsid w:val="00557800"/>
    <w:rsid w:val="00561DB5"/>
    <w:rsid w:val="00571DFE"/>
    <w:rsid w:val="00591C31"/>
    <w:rsid w:val="005A757F"/>
    <w:rsid w:val="005B4F07"/>
    <w:rsid w:val="005B6B5B"/>
    <w:rsid w:val="005C61D5"/>
    <w:rsid w:val="005D4320"/>
    <w:rsid w:val="006048E1"/>
    <w:rsid w:val="006418BD"/>
    <w:rsid w:val="006454CC"/>
    <w:rsid w:val="00657A75"/>
    <w:rsid w:val="0066690D"/>
    <w:rsid w:val="00670914"/>
    <w:rsid w:val="006736A9"/>
    <w:rsid w:val="006B1F61"/>
    <w:rsid w:val="006B4B28"/>
    <w:rsid w:val="006D3305"/>
    <w:rsid w:val="006E237D"/>
    <w:rsid w:val="006E25AA"/>
    <w:rsid w:val="006E56BC"/>
    <w:rsid w:val="006E67BA"/>
    <w:rsid w:val="006F001B"/>
    <w:rsid w:val="006F7FCD"/>
    <w:rsid w:val="00723073"/>
    <w:rsid w:val="00755C51"/>
    <w:rsid w:val="0076237D"/>
    <w:rsid w:val="00766323"/>
    <w:rsid w:val="00773FA1"/>
    <w:rsid w:val="007819E3"/>
    <w:rsid w:val="007A04B8"/>
    <w:rsid w:val="007B6745"/>
    <w:rsid w:val="0080200D"/>
    <w:rsid w:val="008160DB"/>
    <w:rsid w:val="0082012E"/>
    <w:rsid w:val="008344B6"/>
    <w:rsid w:val="00845F09"/>
    <w:rsid w:val="00880276"/>
    <w:rsid w:val="0088136A"/>
    <w:rsid w:val="0089752D"/>
    <w:rsid w:val="008B3F85"/>
    <w:rsid w:val="008B4E7F"/>
    <w:rsid w:val="008C0397"/>
    <w:rsid w:val="008D7D2E"/>
    <w:rsid w:val="00920C2A"/>
    <w:rsid w:val="00927306"/>
    <w:rsid w:val="009357DB"/>
    <w:rsid w:val="0098490A"/>
    <w:rsid w:val="009B2AB6"/>
    <w:rsid w:val="009C6F12"/>
    <w:rsid w:val="009D167C"/>
    <w:rsid w:val="00A326F3"/>
    <w:rsid w:val="00A42BA7"/>
    <w:rsid w:val="00A62F56"/>
    <w:rsid w:val="00AA218F"/>
    <w:rsid w:val="00AD305B"/>
    <w:rsid w:val="00B11445"/>
    <w:rsid w:val="00B77229"/>
    <w:rsid w:val="00B80521"/>
    <w:rsid w:val="00BA3183"/>
    <w:rsid w:val="00BB3600"/>
    <w:rsid w:val="00BB5109"/>
    <w:rsid w:val="00BB73F3"/>
    <w:rsid w:val="00BD32BF"/>
    <w:rsid w:val="00BE08CB"/>
    <w:rsid w:val="00C04A37"/>
    <w:rsid w:val="00C20BC7"/>
    <w:rsid w:val="00C47D2B"/>
    <w:rsid w:val="00C6705F"/>
    <w:rsid w:val="00C7070A"/>
    <w:rsid w:val="00CC1EF2"/>
    <w:rsid w:val="00CC2B2F"/>
    <w:rsid w:val="00D15FBF"/>
    <w:rsid w:val="00D65C75"/>
    <w:rsid w:val="00D8103F"/>
    <w:rsid w:val="00D92A2D"/>
    <w:rsid w:val="00DB08B6"/>
    <w:rsid w:val="00DC5FA9"/>
    <w:rsid w:val="00E0507B"/>
    <w:rsid w:val="00E216DC"/>
    <w:rsid w:val="00E24453"/>
    <w:rsid w:val="00E435CA"/>
    <w:rsid w:val="00E55849"/>
    <w:rsid w:val="00E82357"/>
    <w:rsid w:val="00EA51CD"/>
    <w:rsid w:val="00EA5A81"/>
    <w:rsid w:val="00EB4343"/>
    <w:rsid w:val="00EB6B80"/>
    <w:rsid w:val="00EC4961"/>
    <w:rsid w:val="00ED1FE8"/>
    <w:rsid w:val="00F05D4A"/>
    <w:rsid w:val="00F879B0"/>
    <w:rsid w:val="00FC252F"/>
    <w:rsid w:val="0557D423"/>
    <w:rsid w:val="07A39F78"/>
    <w:rsid w:val="1711B5D4"/>
    <w:rsid w:val="3CD2E0C4"/>
    <w:rsid w:val="4275CE2C"/>
    <w:rsid w:val="50568C77"/>
    <w:rsid w:val="59D5CE10"/>
    <w:rsid w:val="71FEF145"/>
    <w:rsid w:val="77A5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5A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8F"/>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8F"/>
    <w:pPr>
      <w:tabs>
        <w:tab w:val="center" w:pos="4680"/>
        <w:tab w:val="right" w:pos="9360"/>
      </w:tabs>
    </w:pPr>
  </w:style>
  <w:style w:type="character" w:customStyle="1" w:styleId="HeaderChar">
    <w:name w:val="Header Char"/>
    <w:basedOn w:val="DefaultParagraphFont"/>
    <w:link w:val="Header"/>
    <w:uiPriority w:val="99"/>
    <w:rsid w:val="00AA218F"/>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AA218F"/>
    <w:pPr>
      <w:tabs>
        <w:tab w:val="center" w:pos="4680"/>
        <w:tab w:val="right" w:pos="9360"/>
      </w:tabs>
    </w:pPr>
  </w:style>
  <w:style w:type="character" w:customStyle="1" w:styleId="FooterChar">
    <w:name w:val="Footer Char"/>
    <w:basedOn w:val="DefaultParagraphFont"/>
    <w:link w:val="Footer"/>
    <w:uiPriority w:val="99"/>
    <w:rsid w:val="00AA218F"/>
    <w:rPr>
      <w:rFonts w:ascii="Calibri" w:eastAsia="Times New Roman" w:hAnsi="Calibri" w:cs="Times New Roman"/>
      <w:color w:val="000000"/>
      <w:kern w:val="28"/>
      <w:sz w:val="20"/>
      <w:szCs w:val="20"/>
    </w:rPr>
  </w:style>
  <w:style w:type="paragraph" w:styleId="BalloonText">
    <w:name w:val="Balloon Text"/>
    <w:basedOn w:val="Normal"/>
    <w:link w:val="BalloonTextChar"/>
    <w:uiPriority w:val="99"/>
    <w:semiHidden/>
    <w:unhideWhenUsed/>
    <w:rsid w:val="00AA218F"/>
    <w:rPr>
      <w:rFonts w:ascii="Tahoma" w:hAnsi="Tahoma" w:cs="Tahoma"/>
      <w:sz w:val="16"/>
      <w:szCs w:val="16"/>
    </w:rPr>
  </w:style>
  <w:style w:type="character" w:customStyle="1" w:styleId="BalloonTextChar">
    <w:name w:val="Balloon Text Char"/>
    <w:basedOn w:val="DefaultParagraphFont"/>
    <w:link w:val="BalloonText"/>
    <w:uiPriority w:val="99"/>
    <w:semiHidden/>
    <w:rsid w:val="00AA218F"/>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B4E7F"/>
    <w:rPr>
      <w:color w:val="0000FF" w:themeColor="hyperlink"/>
      <w:u w:val="single"/>
    </w:rPr>
  </w:style>
  <w:style w:type="character" w:customStyle="1" w:styleId="lbl">
    <w:name w:val="lbl"/>
    <w:basedOn w:val="DefaultParagraphFont"/>
    <w:rsid w:val="00BB3600"/>
  </w:style>
  <w:style w:type="paragraph" w:customStyle="1" w:styleId="Default">
    <w:name w:val="Default"/>
    <w:rsid w:val="003E4C4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3E4C4B"/>
    <w:pPr>
      <w:contextualSpacing/>
    </w:pPr>
    <w:rPr>
      <w:rFonts w:ascii="Times New Roman" w:eastAsiaTheme="minorHAnsi" w:hAnsi="Times New Roman"/>
      <w:color w:val="auto"/>
      <w:kern w:val="0"/>
      <w:sz w:val="24"/>
      <w:szCs w:val="24"/>
    </w:rPr>
  </w:style>
  <w:style w:type="character" w:styleId="UnresolvedMention">
    <w:name w:val="Unresolved Mention"/>
    <w:basedOn w:val="DefaultParagraphFont"/>
    <w:uiPriority w:val="99"/>
    <w:semiHidden/>
    <w:unhideWhenUsed/>
    <w:rsid w:val="00B80521"/>
    <w:rPr>
      <w:color w:val="605E5C"/>
      <w:shd w:val="clear" w:color="auto" w:fill="E1DFDD"/>
    </w:rPr>
  </w:style>
  <w:style w:type="paragraph" w:styleId="NormalWeb">
    <w:name w:val="Normal (Web)"/>
    <w:basedOn w:val="Normal"/>
    <w:uiPriority w:val="99"/>
    <w:unhideWhenUsed/>
    <w:rsid w:val="00FC252F"/>
    <w:pPr>
      <w:spacing w:before="100" w:beforeAutospacing="1" w:after="100" w:afterAutospacing="1"/>
      <w:ind w:left="0" w:right="0"/>
    </w:pPr>
    <w:rPr>
      <w:rFonts w:ascii="Times New Roman" w:hAnsi="Times New Roman"/>
      <w:color w:val="auto"/>
      <w:kern w:val="0"/>
      <w:sz w:val="24"/>
      <w:szCs w:val="24"/>
    </w:rPr>
  </w:style>
  <w:style w:type="paragraph" w:customStyle="1" w:styleId="paragraph">
    <w:name w:val="paragraph"/>
    <w:basedOn w:val="Normal"/>
    <w:rsid w:val="004704F8"/>
    <w:pPr>
      <w:spacing w:before="100" w:beforeAutospacing="1" w:after="100" w:afterAutospacing="1"/>
      <w:ind w:left="0" w:right="0"/>
    </w:pPr>
    <w:rPr>
      <w:rFonts w:ascii="Times New Roman" w:hAnsi="Times New Roman"/>
      <w:color w:val="auto"/>
      <w:kern w:val="0"/>
      <w:sz w:val="24"/>
      <w:szCs w:val="24"/>
    </w:rPr>
  </w:style>
  <w:style w:type="character" w:customStyle="1" w:styleId="normaltextrun">
    <w:name w:val="normaltextrun"/>
    <w:basedOn w:val="DefaultParagraphFont"/>
    <w:rsid w:val="004704F8"/>
  </w:style>
  <w:style w:type="character" w:customStyle="1" w:styleId="eop">
    <w:name w:val="eop"/>
    <w:basedOn w:val="DefaultParagraphFont"/>
    <w:rsid w:val="004704F8"/>
  </w:style>
  <w:style w:type="paragraph" w:styleId="BodyText">
    <w:name w:val="Body Text"/>
    <w:basedOn w:val="Normal"/>
    <w:link w:val="BodyTextChar"/>
    <w:uiPriority w:val="1"/>
    <w:qFormat/>
    <w:rsid w:val="000B4514"/>
    <w:pPr>
      <w:widowControl w:val="0"/>
      <w:autoSpaceDE w:val="0"/>
      <w:autoSpaceDN w:val="0"/>
      <w:ind w:left="0" w:right="0"/>
    </w:pPr>
    <w:rPr>
      <w:rFonts w:ascii="Times New Roman" w:hAnsi="Times New Roman"/>
      <w:color w:val="auto"/>
      <w:kern w:val="0"/>
      <w:sz w:val="24"/>
      <w:szCs w:val="24"/>
    </w:rPr>
  </w:style>
  <w:style w:type="character" w:customStyle="1" w:styleId="BodyTextChar">
    <w:name w:val="Body Text Char"/>
    <w:basedOn w:val="DefaultParagraphFont"/>
    <w:link w:val="BodyText"/>
    <w:uiPriority w:val="1"/>
    <w:rsid w:val="000B45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1703">
      <w:bodyDiv w:val="1"/>
      <w:marLeft w:val="0"/>
      <w:marRight w:val="0"/>
      <w:marTop w:val="0"/>
      <w:marBottom w:val="0"/>
      <w:divBdr>
        <w:top w:val="none" w:sz="0" w:space="0" w:color="auto"/>
        <w:left w:val="none" w:sz="0" w:space="0" w:color="auto"/>
        <w:bottom w:val="none" w:sz="0" w:space="0" w:color="auto"/>
        <w:right w:val="none" w:sz="0" w:space="0" w:color="auto"/>
      </w:divBdr>
    </w:div>
    <w:div w:id="877166236">
      <w:bodyDiv w:val="1"/>
      <w:marLeft w:val="0"/>
      <w:marRight w:val="0"/>
      <w:marTop w:val="0"/>
      <w:marBottom w:val="0"/>
      <w:divBdr>
        <w:top w:val="none" w:sz="0" w:space="0" w:color="auto"/>
        <w:left w:val="none" w:sz="0" w:space="0" w:color="auto"/>
        <w:bottom w:val="none" w:sz="0" w:space="0" w:color="auto"/>
        <w:right w:val="none" w:sz="0" w:space="0" w:color="auto"/>
      </w:divBdr>
    </w:div>
    <w:div w:id="1163396450">
      <w:bodyDiv w:val="1"/>
      <w:marLeft w:val="0"/>
      <w:marRight w:val="0"/>
      <w:marTop w:val="0"/>
      <w:marBottom w:val="0"/>
      <w:divBdr>
        <w:top w:val="none" w:sz="0" w:space="0" w:color="auto"/>
        <w:left w:val="none" w:sz="0" w:space="0" w:color="auto"/>
        <w:bottom w:val="none" w:sz="0" w:space="0" w:color="auto"/>
        <w:right w:val="none" w:sz="0" w:space="0" w:color="auto"/>
      </w:divBdr>
    </w:div>
    <w:div w:id="1174875607">
      <w:bodyDiv w:val="1"/>
      <w:marLeft w:val="0"/>
      <w:marRight w:val="0"/>
      <w:marTop w:val="0"/>
      <w:marBottom w:val="0"/>
      <w:divBdr>
        <w:top w:val="none" w:sz="0" w:space="0" w:color="auto"/>
        <w:left w:val="none" w:sz="0" w:space="0" w:color="auto"/>
        <w:bottom w:val="none" w:sz="0" w:space="0" w:color="auto"/>
        <w:right w:val="none" w:sz="0" w:space="0" w:color="auto"/>
      </w:divBdr>
    </w:div>
    <w:div w:id="1375234587">
      <w:bodyDiv w:val="1"/>
      <w:marLeft w:val="0"/>
      <w:marRight w:val="0"/>
      <w:marTop w:val="0"/>
      <w:marBottom w:val="0"/>
      <w:divBdr>
        <w:top w:val="none" w:sz="0" w:space="0" w:color="auto"/>
        <w:left w:val="none" w:sz="0" w:space="0" w:color="auto"/>
        <w:bottom w:val="none" w:sz="0" w:space="0" w:color="auto"/>
        <w:right w:val="none" w:sz="0" w:space="0" w:color="auto"/>
      </w:divBdr>
    </w:div>
    <w:div w:id="1430270389">
      <w:bodyDiv w:val="1"/>
      <w:marLeft w:val="0"/>
      <w:marRight w:val="0"/>
      <w:marTop w:val="0"/>
      <w:marBottom w:val="0"/>
      <w:divBdr>
        <w:top w:val="none" w:sz="0" w:space="0" w:color="auto"/>
        <w:left w:val="none" w:sz="0" w:space="0" w:color="auto"/>
        <w:bottom w:val="none" w:sz="0" w:space="0" w:color="auto"/>
        <w:right w:val="none" w:sz="0" w:space="0" w:color="auto"/>
      </w:divBdr>
    </w:div>
    <w:div w:id="1553734773">
      <w:bodyDiv w:val="1"/>
      <w:marLeft w:val="0"/>
      <w:marRight w:val="0"/>
      <w:marTop w:val="0"/>
      <w:marBottom w:val="0"/>
      <w:divBdr>
        <w:top w:val="none" w:sz="0" w:space="0" w:color="auto"/>
        <w:left w:val="none" w:sz="0" w:space="0" w:color="auto"/>
        <w:bottom w:val="none" w:sz="0" w:space="0" w:color="auto"/>
        <w:right w:val="none" w:sz="0" w:space="0" w:color="auto"/>
      </w:divBdr>
    </w:div>
    <w:div w:id="17335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andria.Klapmeier@mt.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7B12CD7907304DB6A1AFCABFA4830C" ma:contentTypeVersion="9" ma:contentTypeDescription="Create a new document." ma:contentTypeScope="" ma:versionID="6e011c15caa34994bb3e2fb033370bf8">
  <xsd:schema xmlns:xsd="http://www.w3.org/2001/XMLSchema" xmlns:xs="http://www.w3.org/2001/XMLSchema" xmlns:p="http://schemas.microsoft.com/office/2006/metadata/properties" xmlns:ns2="6077f51e-6ac7-41ef-9f5d-e1057de27138" xmlns:ns3="eda9f7f9-98de-49b0-847d-4ca262644f0c" targetNamespace="http://schemas.microsoft.com/office/2006/metadata/properties" ma:root="true" ma:fieldsID="b19fc064f2a044319f6e5e5d15227e55" ns2:_="" ns3:_="">
    <xsd:import namespace="6077f51e-6ac7-41ef-9f5d-e1057de27138"/>
    <xsd:import namespace="eda9f7f9-98de-49b0-847d-4ca262644f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f51e-6ac7-41ef-9f5d-e1057de27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a9f7f9-98de-49b0-847d-4ca262644f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2DD42-A6D1-413F-B67F-FE1B439AAEF1}">
  <ds:schemaRefs>
    <ds:schemaRef ds:uri="http://schemas.microsoft.com/sharepoint/v3/contenttype/forms"/>
  </ds:schemaRefs>
</ds:datastoreItem>
</file>

<file path=customXml/itemProps2.xml><?xml version="1.0" encoding="utf-8"?>
<ds:datastoreItem xmlns:ds="http://schemas.openxmlformats.org/officeDocument/2006/customXml" ds:itemID="{8F7DDB00-73AD-4A7A-A69A-712C48F55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C64942-33CB-4239-A2F0-4990E0FBD5A3}">
  <ds:schemaRefs>
    <ds:schemaRef ds:uri="http://schemas.openxmlformats.org/officeDocument/2006/bibliography"/>
  </ds:schemaRefs>
</ds:datastoreItem>
</file>

<file path=customXml/itemProps4.xml><?xml version="1.0" encoding="utf-8"?>
<ds:datastoreItem xmlns:ds="http://schemas.openxmlformats.org/officeDocument/2006/customXml" ds:itemID="{5A109822-FFDE-49A6-B816-06814B02D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f51e-6ac7-41ef-9f5d-e1057de27138"/>
    <ds:schemaRef ds:uri="eda9f7f9-98de-49b0-847d-4ca262644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8447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2023-03-27T21:10:00Z</dcterms:created>
  <dcterms:modified xsi:type="dcterms:W3CDTF">2023-03-27T21:10:00Z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0x010100747B12CD7907304DB6A1AFCABFA4830C</vt:lpwstr>
  </property>
</Properties>
</file>