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66" w:rsidRDefault="00986D66" w:rsidP="004F452A">
      <w:pPr>
        <w:rPr>
          <w:rFonts w:ascii="Times New Roman" w:hAnsi="Times New Roman"/>
          <w:sz w:val="22"/>
          <w:szCs w:val="22"/>
        </w:rPr>
      </w:pPr>
    </w:p>
    <w:p w:rsidR="00933817" w:rsidRPr="00D4205A" w:rsidRDefault="00933817" w:rsidP="00933817">
      <w:pPr>
        <w:pStyle w:val="Heading1"/>
        <w:rPr>
          <w:rFonts w:ascii="Arial" w:hAnsi="Arial" w:cs="Arial"/>
          <w:color w:val="auto"/>
          <w:sz w:val="22"/>
          <w:szCs w:val="22"/>
          <w:lang w:bidi="ar-SA"/>
        </w:rPr>
      </w:pPr>
      <w:r w:rsidRPr="00D4205A">
        <w:rPr>
          <w:rFonts w:ascii="Arial" w:hAnsi="Arial" w:cs="Arial"/>
          <w:color w:val="auto"/>
          <w:sz w:val="22"/>
          <w:szCs w:val="22"/>
          <w:lang w:bidi="ar-SA"/>
        </w:rPr>
        <w:t>Findings and information related to a child fatality or near fatality</w:t>
      </w:r>
    </w:p>
    <w:p w:rsidR="00933817" w:rsidRPr="00D4205A" w:rsidRDefault="00933817" w:rsidP="00933817">
      <w:pPr>
        <w:rPr>
          <w:rFonts w:ascii="Arial" w:hAnsi="Arial" w:cs="Arial"/>
          <w:sz w:val="22"/>
          <w:szCs w:val="22"/>
        </w:rPr>
      </w:pPr>
      <w:r w:rsidRPr="00D4205A">
        <w:rPr>
          <w:rFonts w:ascii="Arial" w:hAnsi="Arial" w:cs="Arial"/>
          <w:sz w:val="22"/>
          <w:szCs w:val="22"/>
        </w:rPr>
        <w:t xml:space="preserve">Minn. Stat. 626.556, </w:t>
      </w:r>
      <w:proofErr w:type="spellStart"/>
      <w:r w:rsidRPr="00D4205A">
        <w:rPr>
          <w:rFonts w:ascii="Arial" w:hAnsi="Arial" w:cs="Arial"/>
          <w:sz w:val="22"/>
          <w:szCs w:val="22"/>
        </w:rPr>
        <w:t>subd</w:t>
      </w:r>
      <w:proofErr w:type="spellEnd"/>
      <w:r w:rsidRPr="00D4205A">
        <w:rPr>
          <w:rFonts w:ascii="Arial" w:hAnsi="Arial" w:cs="Arial"/>
          <w:sz w:val="22"/>
          <w:szCs w:val="22"/>
        </w:rPr>
        <w:t xml:space="preserve">. 11d requires that, upon request, findings and information regarding a child fatality or near fatality due to maltreatment be disclosed to the public. “Findings and information” means a written summary of actions taken or services rendered by a local social service agency following receipt of a report. The information below is intended to comply with the obligations outlined in M.S. 626.556, </w:t>
      </w:r>
      <w:proofErr w:type="spellStart"/>
      <w:r w:rsidRPr="00D4205A">
        <w:rPr>
          <w:rFonts w:ascii="Arial" w:hAnsi="Arial" w:cs="Arial"/>
          <w:sz w:val="22"/>
          <w:szCs w:val="22"/>
        </w:rPr>
        <w:t>subd</w:t>
      </w:r>
      <w:proofErr w:type="spellEnd"/>
      <w:r w:rsidRPr="00D4205A">
        <w:rPr>
          <w:rFonts w:ascii="Arial" w:hAnsi="Arial" w:cs="Arial"/>
          <w:sz w:val="22"/>
          <w:szCs w:val="22"/>
        </w:rPr>
        <w:t xml:space="preserve">. 11d.  </w:t>
      </w:r>
    </w:p>
    <w:p w:rsidR="00933817" w:rsidRPr="00D4205A" w:rsidRDefault="00933817" w:rsidP="00933817">
      <w:pPr>
        <w:rPr>
          <w:rFonts w:ascii="Arial" w:hAnsi="Arial" w:cs="Arial"/>
          <w:sz w:val="22"/>
          <w:szCs w:val="22"/>
        </w:rPr>
      </w:pPr>
      <w:r w:rsidRPr="00D4205A">
        <w:rPr>
          <w:rFonts w:ascii="Arial" w:hAnsi="Arial" w:cs="Arial"/>
          <w:sz w:val="22"/>
          <w:szCs w:val="22"/>
        </w:rPr>
        <w:t xml:space="preserve">Please note: the law does not allow the disclosure of information related to records or content of any psychiatric, psychological, or therapeutic evaluations, or information that would reveal the identities of persons who provided information related to abuse or neglect of a child. </w:t>
      </w:r>
    </w:p>
    <w:p w:rsidR="00933817" w:rsidRPr="00D4205A" w:rsidRDefault="00933817" w:rsidP="00933817">
      <w:pPr>
        <w:pStyle w:val="Heading3"/>
        <w:rPr>
          <w:rFonts w:ascii="Arial" w:hAnsi="Arial"/>
          <w:color w:val="auto"/>
          <w:sz w:val="22"/>
          <w:szCs w:val="22"/>
        </w:rPr>
      </w:pPr>
      <w:r w:rsidRPr="00D4205A">
        <w:rPr>
          <w:rFonts w:ascii="Arial" w:hAnsi="Arial"/>
          <w:color w:val="auto"/>
          <w:sz w:val="22"/>
          <w:szCs w:val="22"/>
        </w:rPr>
        <w:t xml:space="preserve">Data to be disclosed pursuant to Minn. Stat. 626.556, </w:t>
      </w:r>
      <w:proofErr w:type="spellStart"/>
      <w:r w:rsidRPr="00D4205A">
        <w:rPr>
          <w:rFonts w:ascii="Arial" w:hAnsi="Arial"/>
          <w:color w:val="auto"/>
          <w:sz w:val="22"/>
          <w:szCs w:val="22"/>
        </w:rPr>
        <w:t>subd</w:t>
      </w:r>
      <w:proofErr w:type="spellEnd"/>
      <w:r w:rsidRPr="00D4205A">
        <w:rPr>
          <w:rFonts w:ascii="Arial" w:hAnsi="Arial"/>
          <w:color w:val="auto"/>
          <w:sz w:val="22"/>
          <w:szCs w:val="22"/>
        </w:rPr>
        <w:t>. 11d (c) (1) – (7)</w:t>
      </w:r>
    </w:p>
    <w:p w:rsidR="00933817" w:rsidRPr="00D4205A" w:rsidRDefault="00933817" w:rsidP="00933817">
      <w:pPr>
        <w:pStyle w:val="ListParagraph"/>
        <w:numPr>
          <w:ilvl w:val="0"/>
          <w:numId w:val="2"/>
        </w:numPr>
        <w:rPr>
          <w:rFonts w:ascii="Arial" w:hAnsi="Arial" w:cs="Arial"/>
          <w:b/>
        </w:rPr>
      </w:pPr>
      <w:r w:rsidRPr="00D4205A">
        <w:rPr>
          <w:rFonts w:ascii="Arial" w:hAnsi="Arial" w:cs="Arial"/>
          <w:b/>
        </w:rPr>
        <w:t xml:space="preserve">Cause and circumstances regarding the child fatality or near fatality </w:t>
      </w:r>
    </w:p>
    <w:p w:rsidR="00933817" w:rsidRPr="00D4205A" w:rsidRDefault="00933817" w:rsidP="007A662D">
      <w:pPr>
        <w:ind w:firstLine="720"/>
        <w:rPr>
          <w:rFonts w:ascii="Arial" w:hAnsi="Arial" w:cs="Arial"/>
          <w:sz w:val="22"/>
          <w:szCs w:val="22"/>
        </w:rPr>
      </w:pPr>
      <w:r w:rsidRPr="00D4205A">
        <w:rPr>
          <w:rFonts w:ascii="Arial" w:hAnsi="Arial" w:cs="Arial"/>
          <w:sz w:val="22"/>
          <w:szCs w:val="22"/>
        </w:rPr>
        <w:t>Fatality</w:t>
      </w:r>
      <w:r w:rsidRPr="00D4205A">
        <w:rPr>
          <w:rFonts w:ascii="Arial" w:hAnsi="Arial" w:cs="Arial"/>
          <w:sz w:val="22"/>
          <w:szCs w:val="22"/>
        </w:rPr>
        <w:tab/>
      </w:r>
      <w:r w:rsidRPr="00D4205A">
        <w:rPr>
          <w:rFonts w:ascii="Arial" w:hAnsi="Arial" w:cs="Arial"/>
          <w:sz w:val="22"/>
          <w:szCs w:val="22"/>
        </w:rPr>
        <w:tab/>
      </w:r>
      <w:r w:rsidR="007A662D">
        <w:rPr>
          <w:rFonts w:ascii="Segoe UI Symbol" w:eastAsia="MS Gothic" w:hAnsi="Segoe UI Symbol" w:cs="Segoe UI Symbol"/>
          <w:sz w:val="22"/>
          <w:szCs w:val="22"/>
        </w:rPr>
        <w:t xml:space="preserve">X </w:t>
      </w:r>
      <w:r w:rsidRPr="00D4205A">
        <w:rPr>
          <w:rFonts w:ascii="Arial" w:hAnsi="Arial" w:cs="Arial"/>
          <w:sz w:val="22"/>
          <w:szCs w:val="22"/>
        </w:rPr>
        <w:t>Near-fatality</w:t>
      </w:r>
    </w:p>
    <w:p w:rsidR="00933817" w:rsidRPr="00D4205A" w:rsidRDefault="00933817" w:rsidP="00933817">
      <w:pPr>
        <w:ind w:firstLine="360"/>
        <w:rPr>
          <w:rFonts w:ascii="Arial" w:hAnsi="Arial" w:cs="Arial"/>
          <w:sz w:val="22"/>
          <w:szCs w:val="22"/>
        </w:rPr>
      </w:pPr>
      <w:r w:rsidRPr="00D4205A">
        <w:rPr>
          <w:rFonts w:ascii="Arial" w:hAnsi="Arial" w:cs="Arial"/>
          <w:sz w:val="22"/>
          <w:szCs w:val="22"/>
        </w:rPr>
        <w:t xml:space="preserve">Cause and circumstances: </w:t>
      </w:r>
    </w:p>
    <w:p w:rsidR="00933817" w:rsidRPr="007A662D" w:rsidRDefault="007A662D" w:rsidP="00933817">
      <w:pPr>
        <w:ind w:firstLine="360"/>
        <w:rPr>
          <w:rFonts w:ascii="Arial" w:hAnsi="Arial" w:cs="Arial"/>
          <w:sz w:val="22"/>
          <w:szCs w:val="22"/>
        </w:rPr>
      </w:pPr>
      <w:r w:rsidRPr="007A662D">
        <w:rPr>
          <w:rFonts w:ascii="Arial" w:hAnsi="Arial" w:cs="Arial"/>
          <w:sz w:val="22"/>
          <w:szCs w:val="22"/>
        </w:rPr>
        <w:t>D.A.B</w:t>
      </w:r>
      <w:r>
        <w:rPr>
          <w:rFonts w:ascii="Arial" w:hAnsi="Arial" w:cs="Arial"/>
          <w:sz w:val="22"/>
          <w:szCs w:val="22"/>
        </w:rPr>
        <w:t>. ingested a form of hydrocarbon, possibly paint thinner or turpentine, while spending time with family at her great grandmother’s home.  She was admitted to Gillette Children’s PICU Critical are on 7/22/17 in acute respiratory failure.  Mother, T.A., reported that the child’s cousins use paint thinner because they paint their shoes.  They left it in a sprite bottle in the great grandmother’s home.  The child fully recovered.</w:t>
      </w:r>
    </w:p>
    <w:p w:rsidR="00933817" w:rsidRPr="00D4205A" w:rsidRDefault="00933817" w:rsidP="00933817">
      <w:pPr>
        <w:pStyle w:val="Heading3"/>
        <w:numPr>
          <w:ilvl w:val="0"/>
          <w:numId w:val="2"/>
        </w:numPr>
        <w:rPr>
          <w:rFonts w:ascii="Arial" w:hAnsi="Arial"/>
          <w:color w:val="auto"/>
          <w:sz w:val="22"/>
          <w:szCs w:val="22"/>
        </w:rPr>
      </w:pPr>
      <w:r w:rsidRPr="00D4205A">
        <w:rPr>
          <w:rFonts w:ascii="Arial" w:hAnsi="Arial"/>
          <w:color w:val="auto"/>
          <w:sz w:val="22"/>
          <w:szCs w:val="22"/>
        </w:rPr>
        <w:t xml:space="preserve">Age and gender of the child </w:t>
      </w:r>
    </w:p>
    <w:p w:rsidR="00933817" w:rsidRPr="00D4205A" w:rsidRDefault="0025321A" w:rsidP="00933817">
      <w:pPr>
        <w:ind w:left="360"/>
        <w:rPr>
          <w:rFonts w:ascii="Arial" w:hAnsi="Arial" w:cs="Arial"/>
          <w:sz w:val="22"/>
          <w:szCs w:val="22"/>
        </w:rPr>
      </w:pPr>
      <w:r>
        <w:rPr>
          <w:rFonts w:ascii="Arial" w:hAnsi="Arial" w:cs="Arial"/>
          <w:sz w:val="22"/>
          <w:szCs w:val="22"/>
        </w:rPr>
        <w:t xml:space="preserve">Age: </w:t>
      </w:r>
      <w:r w:rsidR="007A662D">
        <w:rPr>
          <w:rFonts w:ascii="Arial" w:hAnsi="Arial" w:cs="Arial"/>
          <w:sz w:val="22"/>
          <w:szCs w:val="22"/>
        </w:rPr>
        <w:t>1</w:t>
      </w:r>
      <w:r w:rsidR="00933817" w:rsidRPr="00D4205A">
        <w:rPr>
          <w:rFonts w:ascii="Arial" w:hAnsi="Arial" w:cs="Arial"/>
          <w:sz w:val="22"/>
          <w:szCs w:val="22"/>
        </w:rPr>
        <w:tab/>
      </w:r>
      <w:r w:rsidR="00933817" w:rsidRPr="00D4205A">
        <w:rPr>
          <w:rFonts w:ascii="Arial" w:hAnsi="Arial" w:cs="Arial"/>
          <w:sz w:val="22"/>
          <w:szCs w:val="22"/>
        </w:rPr>
        <w:tab/>
        <w:t xml:space="preserve">Gender: </w:t>
      </w:r>
      <w:r w:rsidR="00933817" w:rsidRPr="00D4205A">
        <w:rPr>
          <w:rFonts w:ascii="Segoe UI Symbol" w:eastAsia="MS Gothic" w:hAnsi="Segoe UI Symbol" w:cs="Segoe UI Symbol"/>
          <w:sz w:val="22"/>
          <w:szCs w:val="22"/>
        </w:rPr>
        <w:t>☒</w:t>
      </w:r>
      <w:r w:rsidR="00933817" w:rsidRPr="00D4205A">
        <w:rPr>
          <w:rFonts w:ascii="Arial" w:hAnsi="Arial" w:cs="Arial"/>
          <w:sz w:val="22"/>
          <w:szCs w:val="22"/>
        </w:rPr>
        <w:t xml:space="preserve"> Female</w:t>
      </w:r>
      <w:r w:rsidR="00933817" w:rsidRPr="00D4205A">
        <w:rPr>
          <w:rFonts w:ascii="Arial" w:hAnsi="Arial" w:cs="Arial"/>
          <w:sz w:val="22"/>
          <w:szCs w:val="22"/>
        </w:rPr>
        <w:tab/>
      </w:r>
      <w:r w:rsidR="00933817" w:rsidRPr="00D4205A">
        <w:rPr>
          <w:rFonts w:ascii="Segoe UI Symbol" w:eastAsia="MS Gothic" w:hAnsi="Segoe UI Symbol" w:cs="Segoe UI Symbol"/>
          <w:sz w:val="22"/>
          <w:szCs w:val="22"/>
        </w:rPr>
        <w:t>☐</w:t>
      </w:r>
      <w:r w:rsidR="00933817" w:rsidRPr="00D4205A">
        <w:rPr>
          <w:rFonts w:ascii="Arial" w:hAnsi="Arial" w:cs="Arial"/>
          <w:sz w:val="22"/>
          <w:szCs w:val="22"/>
        </w:rPr>
        <w:t xml:space="preserve"> Male        </w:t>
      </w:r>
      <w:r w:rsidR="00933817" w:rsidRPr="00D4205A">
        <w:rPr>
          <w:rFonts w:ascii="Segoe UI Symbol" w:eastAsia="MS Gothic" w:hAnsi="Segoe UI Symbol" w:cs="Segoe UI Symbol"/>
          <w:sz w:val="22"/>
          <w:szCs w:val="22"/>
        </w:rPr>
        <w:t>☐</w:t>
      </w:r>
      <w:r w:rsidR="00933817" w:rsidRPr="00D4205A">
        <w:rPr>
          <w:rFonts w:ascii="Arial" w:hAnsi="Arial" w:cs="Arial"/>
          <w:sz w:val="22"/>
          <w:szCs w:val="22"/>
        </w:rPr>
        <w:t xml:space="preserve"> Other</w:t>
      </w:r>
    </w:p>
    <w:p w:rsidR="00933817" w:rsidRPr="00D4205A" w:rsidRDefault="00933817" w:rsidP="00933817">
      <w:pPr>
        <w:pStyle w:val="ListParagraph"/>
        <w:numPr>
          <w:ilvl w:val="0"/>
          <w:numId w:val="2"/>
        </w:numPr>
        <w:rPr>
          <w:rFonts w:ascii="Arial" w:hAnsi="Arial" w:cs="Arial"/>
          <w:b/>
        </w:rPr>
      </w:pPr>
      <w:r w:rsidRPr="00D4205A">
        <w:rPr>
          <w:rFonts w:ascii="Arial" w:hAnsi="Arial" w:cs="Arial"/>
          <w:b/>
        </w:rPr>
        <w:t>Information on any previous reports of child abuse or neglect that are pertinent to the abuse or neglect that led to the child fatality or near fatality</w:t>
      </w:r>
    </w:p>
    <w:p w:rsidR="00933817" w:rsidRPr="00D4205A" w:rsidRDefault="007A662D" w:rsidP="00933817">
      <w:pPr>
        <w:pStyle w:val="ListParagraph"/>
        <w:numPr>
          <w:ilvl w:val="0"/>
          <w:numId w:val="0"/>
        </w:numPr>
        <w:ind w:left="360"/>
        <w:rPr>
          <w:rFonts w:ascii="Arial" w:hAnsi="Arial" w:cs="Arial"/>
        </w:rPr>
      </w:pPr>
      <w:r>
        <w:rPr>
          <w:rFonts w:ascii="Arial" w:hAnsi="Arial" w:cs="Arial"/>
        </w:rPr>
        <w:t xml:space="preserve">There was a prior child protection investigation in February of 2016 when T.A.’s child, Z.A.B, was found wandering in the street.  </w:t>
      </w:r>
      <w:bookmarkStart w:id="0" w:name="_Hlk514069376"/>
      <w:r>
        <w:rPr>
          <w:rFonts w:ascii="Arial" w:hAnsi="Arial" w:cs="Arial"/>
        </w:rPr>
        <w:t>The child was taken into custody and T.A. did not contact child protection until the next day.  T.A. reported she was leaving the child with her grandmother so she could go to school and Z.A.B. must have followed her out when she left.</w:t>
      </w:r>
      <w:bookmarkEnd w:id="0"/>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2"/>
        </w:numPr>
        <w:rPr>
          <w:rFonts w:ascii="Arial" w:hAnsi="Arial" w:cs="Arial"/>
          <w:b/>
        </w:rPr>
      </w:pPr>
      <w:r w:rsidRPr="00D4205A">
        <w:rPr>
          <w:rFonts w:ascii="Arial" w:hAnsi="Arial" w:cs="Arial"/>
          <w:b/>
        </w:rPr>
        <w:t>Information on any previous investigations that are pertinent to the abuse or neglect that led to the child fatality or near fatality</w:t>
      </w:r>
    </w:p>
    <w:p w:rsidR="00933817" w:rsidRPr="00D4205A" w:rsidRDefault="001C5DF2" w:rsidP="00933817">
      <w:pPr>
        <w:pStyle w:val="ListParagraph"/>
        <w:numPr>
          <w:ilvl w:val="0"/>
          <w:numId w:val="0"/>
        </w:numPr>
        <w:ind w:left="360"/>
        <w:rPr>
          <w:rFonts w:ascii="Arial" w:hAnsi="Arial" w:cs="Arial"/>
        </w:rPr>
      </w:pPr>
      <w:r>
        <w:rPr>
          <w:rFonts w:ascii="Arial" w:hAnsi="Arial" w:cs="Arial"/>
        </w:rPr>
        <w:t>Z.A.B.</w:t>
      </w:r>
      <w:r w:rsidRPr="001C5DF2">
        <w:rPr>
          <w:rFonts w:ascii="Arial" w:hAnsi="Arial" w:cs="Arial"/>
        </w:rPr>
        <w:t xml:space="preserve"> was taken into custody and T.A. did not contact child protection until the next day.  T.A. reported she was leaving the child with her grandmother so she could go to school and Z.A.B. must have followed her out when she left.</w:t>
      </w:r>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2"/>
        </w:numPr>
        <w:rPr>
          <w:rFonts w:ascii="Arial" w:hAnsi="Arial" w:cs="Arial"/>
          <w:b/>
        </w:rPr>
      </w:pPr>
      <w:r w:rsidRPr="00D4205A">
        <w:rPr>
          <w:rFonts w:ascii="Arial" w:hAnsi="Arial" w:cs="Arial"/>
          <w:b/>
        </w:rPr>
        <w:t>Results of any investigations described in (4)</w:t>
      </w:r>
    </w:p>
    <w:p w:rsidR="00933817" w:rsidRPr="00D4205A" w:rsidRDefault="001C5DF2" w:rsidP="00933817">
      <w:pPr>
        <w:pStyle w:val="ListParagraph"/>
        <w:numPr>
          <w:ilvl w:val="0"/>
          <w:numId w:val="0"/>
        </w:numPr>
        <w:ind w:left="360"/>
        <w:rPr>
          <w:rFonts w:ascii="Arial" w:hAnsi="Arial" w:cs="Arial"/>
        </w:rPr>
      </w:pPr>
      <w:r>
        <w:rPr>
          <w:rFonts w:ascii="Arial" w:hAnsi="Arial" w:cs="Arial"/>
        </w:rPr>
        <w:t>There was no finding of maltreatment determined as the agency determined the incident occurred due to a miscommunication between the mother and grandmother.</w:t>
      </w:r>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0"/>
        </w:numPr>
        <w:ind w:left="360"/>
        <w:rPr>
          <w:rFonts w:ascii="Arial" w:hAnsi="Arial" w:cs="Arial"/>
        </w:rPr>
      </w:pPr>
    </w:p>
    <w:p w:rsidR="00525711" w:rsidRPr="00525711" w:rsidRDefault="00933817" w:rsidP="00525711">
      <w:pPr>
        <w:pStyle w:val="ListParagraph"/>
        <w:numPr>
          <w:ilvl w:val="0"/>
          <w:numId w:val="2"/>
        </w:numPr>
        <w:rPr>
          <w:rFonts w:ascii="Arial" w:hAnsi="Arial" w:cs="Arial"/>
          <w:b/>
        </w:rPr>
      </w:pPr>
      <w:r w:rsidRPr="00D4205A">
        <w:rPr>
          <w:rFonts w:ascii="Arial" w:hAnsi="Arial" w:cs="Arial"/>
          <w:b/>
        </w:rPr>
        <w:t>Actions of and services provided by the agency on behalf of a child that are pertinent to the child abuse or neglect that led to the child fatality or near fatality</w:t>
      </w:r>
    </w:p>
    <w:p w:rsidR="00933817" w:rsidRPr="00D4205A" w:rsidRDefault="001C5DF2" w:rsidP="00933817">
      <w:pPr>
        <w:pStyle w:val="ListParagraph"/>
        <w:numPr>
          <w:ilvl w:val="0"/>
          <w:numId w:val="0"/>
        </w:numPr>
        <w:ind w:left="360"/>
        <w:rPr>
          <w:rFonts w:ascii="Arial" w:hAnsi="Arial" w:cs="Arial"/>
        </w:rPr>
      </w:pPr>
      <w:r>
        <w:rPr>
          <w:rFonts w:ascii="Arial" w:hAnsi="Arial" w:cs="Arial"/>
        </w:rPr>
        <w:t>Child protection case management services were provided to the family from 2/16/2016 to 6/7/2016 to address chemical use and housing.</w:t>
      </w:r>
    </w:p>
    <w:p w:rsidR="00933817" w:rsidRPr="00D4205A" w:rsidRDefault="00933817" w:rsidP="00933817">
      <w:pPr>
        <w:pStyle w:val="ListParagraph"/>
        <w:numPr>
          <w:ilvl w:val="0"/>
          <w:numId w:val="0"/>
        </w:numPr>
        <w:ind w:left="360"/>
        <w:rPr>
          <w:rFonts w:ascii="Arial" w:hAnsi="Arial" w:cs="Arial"/>
        </w:rPr>
      </w:pPr>
    </w:p>
    <w:p w:rsidR="004F452A" w:rsidRDefault="00933817" w:rsidP="0025321A">
      <w:pPr>
        <w:pStyle w:val="ListParagraph"/>
        <w:numPr>
          <w:ilvl w:val="0"/>
          <w:numId w:val="2"/>
        </w:numPr>
        <w:rPr>
          <w:rFonts w:ascii="Arial" w:hAnsi="Arial" w:cs="Arial"/>
        </w:rPr>
      </w:pPr>
      <w:r w:rsidRPr="00D4205A">
        <w:rPr>
          <w:rFonts w:ascii="Arial" w:hAnsi="Arial" w:cs="Arial"/>
          <w:b/>
        </w:rPr>
        <w:t>Results of any review of the state child mortality review panel, a local child mortality review panel, a local community child protection team or any public agency.</w:t>
      </w:r>
      <w:r w:rsidR="0025321A">
        <w:rPr>
          <w:rFonts w:ascii="Arial" w:hAnsi="Arial" w:cs="Arial"/>
        </w:rPr>
        <w:t xml:space="preserve"> </w:t>
      </w:r>
    </w:p>
    <w:p w:rsidR="00525711" w:rsidRPr="0025321A" w:rsidRDefault="001C5DF2" w:rsidP="00525711">
      <w:pPr>
        <w:pStyle w:val="ListParagraph"/>
        <w:numPr>
          <w:ilvl w:val="0"/>
          <w:numId w:val="0"/>
        </w:numPr>
        <w:ind w:left="360"/>
        <w:rPr>
          <w:rFonts w:ascii="Arial" w:hAnsi="Arial" w:cs="Arial"/>
        </w:rPr>
      </w:pPr>
      <w:r>
        <w:rPr>
          <w:rFonts w:ascii="Arial" w:hAnsi="Arial" w:cs="Arial"/>
        </w:rPr>
        <w:t>The mortality review team did not make any recommendations for this case.</w:t>
      </w:r>
      <w:bookmarkStart w:id="1" w:name="_GoBack"/>
      <w:bookmarkEnd w:id="1"/>
    </w:p>
    <w:sectPr w:rsidR="00525711" w:rsidRPr="0025321A" w:rsidSect="00CD34AB">
      <w:headerReference w:type="first" r:id="rId7"/>
      <w:footerReference w:type="first" r:id="rId8"/>
      <w:pgSz w:w="12240" w:h="15840"/>
      <w:pgMar w:top="1440" w:right="1080" w:bottom="1440" w:left="108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026" w:rsidRDefault="00644026">
      <w:r>
        <w:separator/>
      </w:r>
    </w:p>
  </w:endnote>
  <w:endnote w:type="continuationSeparator" w:id="0">
    <w:p w:rsidR="00644026" w:rsidRDefault="0064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AB" w:rsidRDefault="007A662D" w:rsidP="00CD34AB">
    <w:pPr>
      <w:pStyle w:val="Footer"/>
      <w:ind w:left="-1080"/>
    </w:pPr>
    <w:r>
      <w:rPr>
        <w:noProof/>
      </w:rPr>
      <w:drawing>
        <wp:inline distT="0" distB="0" distL="0" distR="0">
          <wp:extent cx="7676515" cy="1141730"/>
          <wp:effectExtent l="0" t="0" r="0" b="0"/>
          <wp:docPr id="2" name="Picture 2" descr="Letterhead-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6515" cy="1141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026" w:rsidRDefault="00644026">
      <w:r>
        <w:separator/>
      </w:r>
    </w:p>
  </w:footnote>
  <w:footnote w:type="continuationSeparator" w:id="0">
    <w:p w:rsidR="00644026" w:rsidRDefault="0064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AB" w:rsidRDefault="007A662D" w:rsidP="00CD34AB">
    <w:pPr>
      <w:pStyle w:val="Header"/>
      <w:ind w:left="-1080"/>
    </w:pPr>
    <w:r>
      <w:rPr>
        <w:noProof/>
        <w:lang w:val="en-US" w:eastAsia="en-US"/>
      </w:rPr>
      <w:drawing>
        <wp:inline distT="0" distB="0" distL="0" distR="0">
          <wp:extent cx="7774940" cy="1162685"/>
          <wp:effectExtent l="0" t="0" r="0" b="0"/>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1">
                    <a:extLst>
                      <a:ext uri="{28A0092B-C50C-407E-A947-70E740481C1C}">
                        <a14:useLocalDpi xmlns:a14="http://schemas.microsoft.com/office/drawing/2010/main" val="0"/>
                      </a:ext>
                    </a:extLst>
                  </a:blip>
                  <a:srcRect l="409"/>
                  <a:stretch>
                    <a:fillRect/>
                  </a:stretch>
                </pic:blipFill>
                <pic:spPr bwMode="auto">
                  <a:xfrm>
                    <a:off x="0" y="0"/>
                    <a:ext cx="7774940" cy="1162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C7A"/>
    <w:multiLevelType w:val="hybridMultilevel"/>
    <w:tmpl w:val="C70C9B50"/>
    <w:lvl w:ilvl="0" w:tplc="B68ED6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9C"/>
    <w:rsid w:val="000F4460"/>
    <w:rsid w:val="00194ABA"/>
    <w:rsid w:val="001C5DF2"/>
    <w:rsid w:val="00226449"/>
    <w:rsid w:val="0025321A"/>
    <w:rsid w:val="0027481C"/>
    <w:rsid w:val="00385414"/>
    <w:rsid w:val="003913D2"/>
    <w:rsid w:val="004709D2"/>
    <w:rsid w:val="004F452A"/>
    <w:rsid w:val="00525711"/>
    <w:rsid w:val="00616C06"/>
    <w:rsid w:val="00644026"/>
    <w:rsid w:val="00670211"/>
    <w:rsid w:val="00751644"/>
    <w:rsid w:val="007A662D"/>
    <w:rsid w:val="00933817"/>
    <w:rsid w:val="00986D66"/>
    <w:rsid w:val="00A15999"/>
    <w:rsid w:val="00A15EDD"/>
    <w:rsid w:val="00AE56D0"/>
    <w:rsid w:val="00B65DFF"/>
    <w:rsid w:val="00B74E95"/>
    <w:rsid w:val="00B92E03"/>
    <w:rsid w:val="00CD34AB"/>
    <w:rsid w:val="00D4205A"/>
    <w:rsid w:val="00DF50D0"/>
    <w:rsid w:val="00E74F74"/>
    <w:rsid w:val="00EB51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1F5EE041"/>
  <w15:chartTrackingRefBased/>
  <w15:docId w15:val="{2CB2C392-B229-4AE6-80B0-52356654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0DD"/>
    <w:rPr>
      <w:sz w:val="24"/>
      <w:szCs w:val="24"/>
    </w:rPr>
  </w:style>
  <w:style w:type="paragraph" w:styleId="Heading1">
    <w:name w:val="heading 1"/>
    <w:next w:val="Normal"/>
    <w:link w:val="Heading1Char"/>
    <w:uiPriority w:val="1"/>
    <w:qFormat/>
    <w:rsid w:val="00933817"/>
    <w:pPr>
      <w:keepNext/>
      <w:keepLines/>
      <w:tabs>
        <w:tab w:val="left" w:pos="3345"/>
      </w:tabs>
      <w:spacing w:before="240" w:after="120" w:line="271" w:lineRule="auto"/>
      <w:outlineLvl w:val="0"/>
    </w:pPr>
    <w:rPr>
      <w:rFonts w:ascii="Calibri" w:eastAsia="Times New Roman" w:hAnsi="Calibri"/>
      <w:b/>
      <w:color w:val="003865"/>
      <w:sz w:val="40"/>
      <w:szCs w:val="40"/>
      <w:lang w:bidi="en-US"/>
    </w:rPr>
  </w:style>
  <w:style w:type="paragraph" w:styleId="Heading3">
    <w:name w:val="heading 3"/>
    <w:next w:val="Normal"/>
    <w:link w:val="Heading3Char"/>
    <w:uiPriority w:val="1"/>
    <w:qFormat/>
    <w:rsid w:val="00933817"/>
    <w:pPr>
      <w:keepNext/>
      <w:spacing w:before="240" w:after="120" w:line="271" w:lineRule="auto"/>
      <w:outlineLvl w:val="2"/>
    </w:pPr>
    <w:rPr>
      <w:rFonts w:ascii="Calibri" w:eastAsia="Times New Roman" w:hAnsi="Calibri" w:cs="Arial"/>
      <w:b/>
      <w:color w:val="003865"/>
      <w:sz w:val="26"/>
      <w:szCs w:val="24"/>
      <w:lang w:bidi="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amseyStyle">
    <w:name w:val="Ramsey Style"/>
    <w:basedOn w:val="Normal"/>
    <w:qFormat/>
    <w:rsid w:val="007125BF"/>
    <w:rPr>
      <w:rFonts w:ascii="Arial" w:hAnsi="Arial"/>
      <w:sz w:val="22"/>
    </w:rPr>
  </w:style>
  <w:style w:type="paragraph" w:styleId="Header">
    <w:name w:val="header"/>
    <w:basedOn w:val="Normal"/>
    <w:link w:val="HeaderChar"/>
    <w:uiPriority w:val="99"/>
    <w:unhideWhenUsed/>
    <w:rsid w:val="00A14A9C"/>
    <w:pPr>
      <w:tabs>
        <w:tab w:val="center" w:pos="4320"/>
        <w:tab w:val="right" w:pos="8640"/>
      </w:tabs>
    </w:pPr>
    <w:rPr>
      <w:lang w:val="x-none" w:eastAsia="x-none"/>
    </w:rPr>
  </w:style>
  <w:style w:type="character" w:customStyle="1" w:styleId="HeaderChar">
    <w:name w:val="Header Char"/>
    <w:link w:val="Header"/>
    <w:uiPriority w:val="99"/>
    <w:rsid w:val="00A14A9C"/>
    <w:rPr>
      <w:sz w:val="24"/>
      <w:szCs w:val="24"/>
    </w:rPr>
  </w:style>
  <w:style w:type="paragraph" w:styleId="Footer">
    <w:name w:val="footer"/>
    <w:basedOn w:val="Normal"/>
    <w:link w:val="FooterChar"/>
    <w:uiPriority w:val="99"/>
    <w:unhideWhenUsed/>
    <w:rsid w:val="00A14A9C"/>
    <w:pPr>
      <w:tabs>
        <w:tab w:val="center" w:pos="4320"/>
        <w:tab w:val="right" w:pos="8640"/>
      </w:tabs>
    </w:pPr>
    <w:rPr>
      <w:lang w:val="x-none" w:eastAsia="x-none"/>
    </w:rPr>
  </w:style>
  <w:style w:type="character" w:customStyle="1" w:styleId="FooterChar">
    <w:name w:val="Footer Char"/>
    <w:link w:val="Footer"/>
    <w:uiPriority w:val="99"/>
    <w:rsid w:val="00A14A9C"/>
    <w:rPr>
      <w:sz w:val="24"/>
      <w:szCs w:val="24"/>
    </w:rPr>
  </w:style>
  <w:style w:type="character" w:styleId="Strong">
    <w:name w:val="Strong"/>
    <w:uiPriority w:val="22"/>
    <w:qFormat/>
    <w:rsid w:val="004F452A"/>
    <w:rPr>
      <w:b/>
      <w:bCs/>
    </w:rPr>
  </w:style>
  <w:style w:type="paragraph" w:styleId="BalloonText">
    <w:name w:val="Balloon Text"/>
    <w:basedOn w:val="Normal"/>
    <w:link w:val="BalloonTextChar"/>
    <w:uiPriority w:val="99"/>
    <w:semiHidden/>
    <w:unhideWhenUsed/>
    <w:rsid w:val="004F452A"/>
    <w:rPr>
      <w:rFonts w:ascii="Segoe UI" w:hAnsi="Segoe UI" w:cs="Segoe UI"/>
      <w:sz w:val="18"/>
      <w:szCs w:val="18"/>
    </w:rPr>
  </w:style>
  <w:style w:type="character" w:customStyle="1" w:styleId="BalloonTextChar">
    <w:name w:val="Balloon Text Char"/>
    <w:link w:val="BalloonText"/>
    <w:uiPriority w:val="99"/>
    <w:semiHidden/>
    <w:rsid w:val="004F452A"/>
    <w:rPr>
      <w:rFonts w:ascii="Segoe UI" w:hAnsi="Segoe UI" w:cs="Segoe UI"/>
      <w:sz w:val="18"/>
      <w:szCs w:val="18"/>
    </w:rPr>
  </w:style>
  <w:style w:type="table" w:styleId="TableGrid">
    <w:name w:val="Table Grid"/>
    <w:basedOn w:val="TableNormal"/>
    <w:uiPriority w:val="59"/>
    <w:rsid w:val="00B6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933817"/>
    <w:rPr>
      <w:rFonts w:ascii="Calibri" w:eastAsia="Times New Roman" w:hAnsi="Calibri"/>
      <w:b/>
      <w:color w:val="003865"/>
      <w:sz w:val="40"/>
      <w:szCs w:val="40"/>
      <w:lang w:bidi="en-US"/>
    </w:rPr>
  </w:style>
  <w:style w:type="character" w:customStyle="1" w:styleId="Heading3Char">
    <w:name w:val="Heading 3 Char"/>
    <w:link w:val="Heading3"/>
    <w:uiPriority w:val="1"/>
    <w:rsid w:val="00933817"/>
    <w:rPr>
      <w:rFonts w:ascii="Calibri" w:eastAsia="Times New Roman" w:hAnsi="Calibri" w:cs="Arial"/>
      <w:b/>
      <w:color w:val="003865"/>
      <w:sz w:val="26"/>
      <w:szCs w:val="24"/>
      <w:lang w:bidi="en-US"/>
    </w:rPr>
  </w:style>
  <w:style w:type="paragraph" w:styleId="ListParagraph">
    <w:name w:val="List Paragraph"/>
    <w:basedOn w:val="Normal"/>
    <w:qFormat/>
    <w:rsid w:val="00933817"/>
    <w:pPr>
      <w:numPr>
        <w:numId w:val="1"/>
      </w:numPr>
      <w:spacing w:before="200" w:after="200" w:line="271" w:lineRule="auto"/>
      <w:contextualSpacing/>
    </w:pPr>
    <w:rPr>
      <w:rFonts w:ascii="Calibri" w:eastAsia="Times New Roman"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mod&amp;co</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Soiseth</dc:creator>
  <cp:keywords/>
  <cp:lastModifiedBy>Strong, Aaron</cp:lastModifiedBy>
  <cp:revision>2</cp:revision>
  <cp:lastPrinted>2017-05-10T19:42:00Z</cp:lastPrinted>
  <dcterms:created xsi:type="dcterms:W3CDTF">2018-05-14T19:02:00Z</dcterms:created>
  <dcterms:modified xsi:type="dcterms:W3CDTF">2018-05-14T19:02:00Z</dcterms:modified>
</cp:coreProperties>
</file>