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3147"/>
        <w:gridCol w:w="1381"/>
        <w:gridCol w:w="1047"/>
        <w:gridCol w:w="1285"/>
        <w:gridCol w:w="1460"/>
        <w:gridCol w:w="1460"/>
        <w:gridCol w:w="1276"/>
        <w:gridCol w:w="1218"/>
        <w:gridCol w:w="871"/>
        <w:gridCol w:w="1345"/>
      </w:tblGrid>
      <w:tr w:rsidR="003506A0" w:rsidRPr="003506A0" w:rsidTr="006748BD">
        <w:trPr>
          <w:trHeight w:val="480"/>
        </w:trPr>
        <w:tc>
          <w:tcPr>
            <w:tcW w:w="8320" w:type="dxa"/>
            <w:gridSpan w:val="5"/>
            <w:noWrap/>
            <w:hideMark/>
          </w:tcPr>
          <w:p w:rsidR="003506A0" w:rsidRPr="003506A0" w:rsidRDefault="003506A0">
            <w:pPr>
              <w:rPr>
                <w:b/>
                <w:bCs/>
              </w:rPr>
            </w:pPr>
            <w:bookmarkStart w:id="0" w:name="_GoBack"/>
            <w:bookmarkEnd w:id="0"/>
            <w:r w:rsidRPr="003506A0">
              <w:rPr>
                <w:b/>
                <w:bCs/>
              </w:rPr>
              <w:t xml:space="preserve">Newport News Employees' Retirement Fund - Alternative Asset Portfolio </w:t>
            </w:r>
          </w:p>
        </w:tc>
        <w:tc>
          <w:tcPr>
            <w:tcW w:w="1460" w:type="dxa"/>
            <w:noWrap/>
            <w:hideMark/>
          </w:tcPr>
          <w:p w:rsidR="003506A0" w:rsidRPr="003506A0" w:rsidRDefault="003506A0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3506A0" w:rsidRPr="003506A0" w:rsidRDefault="003506A0"/>
        </w:tc>
        <w:tc>
          <w:tcPr>
            <w:tcW w:w="1218" w:type="dxa"/>
            <w:noWrap/>
            <w:hideMark/>
          </w:tcPr>
          <w:p w:rsidR="003506A0" w:rsidRPr="003506A0" w:rsidRDefault="003506A0"/>
        </w:tc>
        <w:tc>
          <w:tcPr>
            <w:tcW w:w="871" w:type="dxa"/>
            <w:noWrap/>
            <w:hideMark/>
          </w:tcPr>
          <w:p w:rsidR="003506A0" w:rsidRPr="003506A0" w:rsidRDefault="003506A0"/>
        </w:tc>
        <w:tc>
          <w:tcPr>
            <w:tcW w:w="1345" w:type="dxa"/>
            <w:noWrap/>
            <w:hideMark/>
          </w:tcPr>
          <w:p w:rsidR="003506A0" w:rsidRPr="003506A0" w:rsidRDefault="003506A0"/>
        </w:tc>
      </w:tr>
      <w:tr w:rsidR="003506A0" w:rsidRPr="003506A0" w:rsidTr="006748BD">
        <w:trPr>
          <w:trHeight w:val="259"/>
        </w:trPr>
        <w:tc>
          <w:tcPr>
            <w:tcW w:w="3147" w:type="dxa"/>
            <w:noWrap/>
            <w:hideMark/>
          </w:tcPr>
          <w:p w:rsidR="003506A0" w:rsidRPr="003506A0" w:rsidRDefault="003506A0" w:rsidP="00CD3BEF">
            <w:r w:rsidRPr="003506A0">
              <w:rPr>
                <w:b/>
                <w:bCs/>
              </w:rPr>
              <w:t xml:space="preserve">Performance Data as of*: </w:t>
            </w:r>
            <w:r w:rsidR="006748BD">
              <w:t>3</w:t>
            </w:r>
            <w:r w:rsidR="00CD3BEF">
              <w:t>1</w:t>
            </w:r>
            <w:r w:rsidRPr="003506A0">
              <w:t>-</w:t>
            </w:r>
            <w:r w:rsidR="00CD3BEF">
              <w:t>Dec</w:t>
            </w:r>
            <w:r w:rsidRPr="003506A0">
              <w:t>-18</w:t>
            </w:r>
          </w:p>
        </w:tc>
        <w:tc>
          <w:tcPr>
            <w:tcW w:w="1381" w:type="dxa"/>
            <w:noWrap/>
            <w:hideMark/>
          </w:tcPr>
          <w:p w:rsidR="003506A0" w:rsidRPr="003506A0" w:rsidRDefault="003506A0"/>
        </w:tc>
        <w:tc>
          <w:tcPr>
            <w:tcW w:w="1047" w:type="dxa"/>
            <w:noWrap/>
            <w:hideMark/>
          </w:tcPr>
          <w:p w:rsidR="003506A0" w:rsidRPr="003506A0" w:rsidRDefault="003506A0"/>
        </w:tc>
        <w:tc>
          <w:tcPr>
            <w:tcW w:w="1285" w:type="dxa"/>
            <w:noWrap/>
            <w:hideMark/>
          </w:tcPr>
          <w:p w:rsidR="003506A0" w:rsidRPr="003506A0" w:rsidRDefault="003506A0"/>
        </w:tc>
        <w:tc>
          <w:tcPr>
            <w:tcW w:w="1460" w:type="dxa"/>
            <w:noWrap/>
            <w:hideMark/>
          </w:tcPr>
          <w:p w:rsidR="003506A0" w:rsidRPr="003506A0" w:rsidRDefault="003506A0"/>
        </w:tc>
        <w:tc>
          <w:tcPr>
            <w:tcW w:w="1460" w:type="dxa"/>
            <w:noWrap/>
            <w:hideMark/>
          </w:tcPr>
          <w:p w:rsidR="003506A0" w:rsidRPr="003506A0" w:rsidRDefault="003506A0"/>
        </w:tc>
        <w:tc>
          <w:tcPr>
            <w:tcW w:w="1276" w:type="dxa"/>
            <w:noWrap/>
            <w:hideMark/>
          </w:tcPr>
          <w:p w:rsidR="003506A0" w:rsidRPr="003506A0" w:rsidRDefault="003506A0"/>
        </w:tc>
        <w:tc>
          <w:tcPr>
            <w:tcW w:w="1218" w:type="dxa"/>
            <w:noWrap/>
            <w:hideMark/>
          </w:tcPr>
          <w:p w:rsidR="003506A0" w:rsidRPr="003506A0" w:rsidRDefault="003506A0"/>
        </w:tc>
        <w:tc>
          <w:tcPr>
            <w:tcW w:w="871" w:type="dxa"/>
            <w:noWrap/>
            <w:hideMark/>
          </w:tcPr>
          <w:p w:rsidR="003506A0" w:rsidRPr="003506A0" w:rsidRDefault="003506A0"/>
        </w:tc>
        <w:tc>
          <w:tcPr>
            <w:tcW w:w="1345" w:type="dxa"/>
            <w:noWrap/>
            <w:hideMark/>
          </w:tcPr>
          <w:p w:rsidR="003506A0" w:rsidRPr="003506A0" w:rsidRDefault="003506A0"/>
        </w:tc>
      </w:tr>
      <w:tr w:rsidR="003506A0" w:rsidRPr="003506A0" w:rsidTr="006748BD">
        <w:trPr>
          <w:trHeight w:val="319"/>
        </w:trPr>
        <w:tc>
          <w:tcPr>
            <w:tcW w:w="3147" w:type="dxa"/>
            <w:noWrap/>
            <w:hideMark/>
          </w:tcPr>
          <w:p w:rsidR="003506A0" w:rsidRPr="003506A0" w:rsidRDefault="003506A0">
            <w:pPr>
              <w:rPr>
                <w:b/>
                <w:bCs/>
              </w:rPr>
            </w:pPr>
            <w:r w:rsidRPr="003506A0">
              <w:rPr>
                <w:b/>
                <w:bCs/>
              </w:rPr>
              <w:t xml:space="preserve">Name </w:t>
            </w:r>
          </w:p>
        </w:tc>
        <w:tc>
          <w:tcPr>
            <w:tcW w:w="1381" w:type="dxa"/>
            <w:noWrap/>
            <w:hideMark/>
          </w:tcPr>
          <w:p w:rsidR="003506A0" w:rsidRPr="003506A0" w:rsidRDefault="003506A0">
            <w:r w:rsidRPr="003506A0">
              <w:t>Category</w:t>
            </w:r>
          </w:p>
        </w:tc>
        <w:tc>
          <w:tcPr>
            <w:tcW w:w="1047" w:type="dxa"/>
            <w:noWrap/>
            <w:hideMark/>
          </w:tcPr>
          <w:p w:rsidR="003506A0" w:rsidRPr="003506A0" w:rsidRDefault="003506A0">
            <w:r w:rsidRPr="003506A0">
              <w:t>Currency</w:t>
            </w:r>
          </w:p>
        </w:tc>
        <w:tc>
          <w:tcPr>
            <w:tcW w:w="1285" w:type="dxa"/>
            <w:noWrap/>
            <w:hideMark/>
          </w:tcPr>
          <w:p w:rsidR="003506A0" w:rsidRPr="003506A0" w:rsidRDefault="003506A0">
            <w:r w:rsidRPr="003506A0">
              <w:t>Inception</w:t>
            </w:r>
          </w:p>
        </w:tc>
        <w:tc>
          <w:tcPr>
            <w:tcW w:w="1460" w:type="dxa"/>
            <w:noWrap/>
            <w:hideMark/>
          </w:tcPr>
          <w:p w:rsidR="003506A0" w:rsidRPr="003506A0" w:rsidRDefault="003506A0">
            <w:r w:rsidRPr="003506A0">
              <w:t xml:space="preserve"> Initial Commitment</w:t>
            </w:r>
          </w:p>
        </w:tc>
        <w:tc>
          <w:tcPr>
            <w:tcW w:w="1460" w:type="dxa"/>
            <w:noWrap/>
            <w:hideMark/>
          </w:tcPr>
          <w:p w:rsidR="003506A0" w:rsidRPr="003506A0" w:rsidRDefault="003506A0">
            <w:r w:rsidRPr="003506A0">
              <w:t>Contribution</w:t>
            </w:r>
          </w:p>
        </w:tc>
        <w:tc>
          <w:tcPr>
            <w:tcW w:w="1276" w:type="dxa"/>
            <w:noWrap/>
            <w:hideMark/>
          </w:tcPr>
          <w:p w:rsidR="003506A0" w:rsidRPr="003506A0" w:rsidRDefault="003506A0">
            <w:r w:rsidRPr="003506A0">
              <w:t>Distribution</w:t>
            </w:r>
          </w:p>
        </w:tc>
        <w:tc>
          <w:tcPr>
            <w:tcW w:w="1218" w:type="dxa"/>
            <w:noWrap/>
            <w:hideMark/>
          </w:tcPr>
          <w:p w:rsidR="003506A0" w:rsidRPr="003506A0" w:rsidRDefault="003506A0">
            <w:r w:rsidRPr="003506A0">
              <w:t>Value</w:t>
            </w:r>
          </w:p>
        </w:tc>
        <w:tc>
          <w:tcPr>
            <w:tcW w:w="871" w:type="dxa"/>
            <w:noWrap/>
            <w:hideMark/>
          </w:tcPr>
          <w:p w:rsidR="003506A0" w:rsidRPr="00BC47D6" w:rsidRDefault="003506A0">
            <w:r w:rsidRPr="00BC47D6">
              <w:t>Net IRR</w:t>
            </w:r>
          </w:p>
        </w:tc>
        <w:tc>
          <w:tcPr>
            <w:tcW w:w="1345" w:type="dxa"/>
            <w:noWrap/>
            <w:hideMark/>
          </w:tcPr>
          <w:p w:rsidR="003506A0" w:rsidRPr="00BC47D6" w:rsidRDefault="003506A0">
            <w:r w:rsidRPr="00BC47D6">
              <w:t>As of Date</w:t>
            </w:r>
          </w:p>
        </w:tc>
      </w:tr>
      <w:tr w:rsidR="003506A0" w:rsidRPr="003506A0" w:rsidTr="006748BD">
        <w:trPr>
          <w:trHeight w:val="255"/>
        </w:trPr>
        <w:tc>
          <w:tcPr>
            <w:tcW w:w="3147" w:type="dxa"/>
            <w:hideMark/>
          </w:tcPr>
          <w:p w:rsidR="003506A0" w:rsidRPr="003506A0" w:rsidRDefault="003506A0">
            <w:r w:rsidRPr="003506A0">
              <w:t>Landmark Equity Partners XV, LP</w:t>
            </w:r>
          </w:p>
        </w:tc>
        <w:tc>
          <w:tcPr>
            <w:tcW w:w="1381" w:type="dxa"/>
            <w:hideMark/>
          </w:tcPr>
          <w:p w:rsidR="003506A0" w:rsidRPr="003506A0" w:rsidRDefault="003506A0">
            <w:r w:rsidRPr="003506A0">
              <w:t>Private Equity</w:t>
            </w:r>
          </w:p>
        </w:tc>
        <w:tc>
          <w:tcPr>
            <w:tcW w:w="1047" w:type="dxa"/>
            <w:hideMark/>
          </w:tcPr>
          <w:p w:rsidR="003506A0" w:rsidRPr="003506A0" w:rsidRDefault="003506A0">
            <w:r w:rsidRPr="003506A0">
              <w:t>USD</w:t>
            </w:r>
          </w:p>
        </w:tc>
        <w:tc>
          <w:tcPr>
            <w:tcW w:w="1285" w:type="dxa"/>
            <w:hideMark/>
          </w:tcPr>
          <w:p w:rsidR="003506A0" w:rsidRPr="003506A0" w:rsidRDefault="003506A0" w:rsidP="003506A0">
            <w:r w:rsidRPr="003506A0">
              <w:t>2014</w:t>
            </w:r>
          </w:p>
        </w:tc>
        <w:tc>
          <w:tcPr>
            <w:tcW w:w="1460" w:type="dxa"/>
            <w:hideMark/>
          </w:tcPr>
          <w:p w:rsidR="003506A0" w:rsidRPr="003506A0" w:rsidRDefault="003506A0">
            <w:r w:rsidRPr="003506A0">
              <w:t>12,500,000</w:t>
            </w:r>
          </w:p>
        </w:tc>
        <w:tc>
          <w:tcPr>
            <w:tcW w:w="1460" w:type="dxa"/>
            <w:hideMark/>
          </w:tcPr>
          <w:p w:rsidR="003506A0" w:rsidRPr="00711594" w:rsidRDefault="00CD3BEF" w:rsidP="00711594">
            <w:r>
              <w:t>8,569,877</w:t>
            </w:r>
          </w:p>
        </w:tc>
        <w:tc>
          <w:tcPr>
            <w:tcW w:w="1276" w:type="dxa"/>
            <w:hideMark/>
          </w:tcPr>
          <w:p w:rsidR="003506A0" w:rsidRPr="00711594" w:rsidRDefault="00711594" w:rsidP="00CD3BEF">
            <w:r w:rsidRPr="00711594">
              <w:t>5,5</w:t>
            </w:r>
            <w:r w:rsidR="00CD3BEF">
              <w:t>89,500</w:t>
            </w:r>
          </w:p>
        </w:tc>
        <w:tc>
          <w:tcPr>
            <w:tcW w:w="1218" w:type="dxa"/>
            <w:hideMark/>
          </w:tcPr>
          <w:p w:rsidR="003506A0" w:rsidRPr="00711594" w:rsidRDefault="006748BD">
            <w:r w:rsidRPr="00711594">
              <w:t>5,</w:t>
            </w:r>
            <w:r w:rsidR="00CD3BEF">
              <w:t>206,012</w:t>
            </w:r>
          </w:p>
          <w:p w:rsidR="006748BD" w:rsidRPr="00711594" w:rsidRDefault="006748BD"/>
        </w:tc>
        <w:tc>
          <w:tcPr>
            <w:tcW w:w="871" w:type="dxa"/>
            <w:hideMark/>
          </w:tcPr>
          <w:p w:rsidR="003506A0" w:rsidRPr="00711594" w:rsidRDefault="00CD3BEF">
            <w:r>
              <w:t>13.2</w:t>
            </w:r>
            <w:r w:rsidR="003506A0" w:rsidRPr="00711594">
              <w:t>%</w:t>
            </w:r>
          </w:p>
        </w:tc>
        <w:tc>
          <w:tcPr>
            <w:tcW w:w="1345" w:type="dxa"/>
            <w:hideMark/>
          </w:tcPr>
          <w:p w:rsidR="003506A0" w:rsidRPr="00711594" w:rsidRDefault="003506A0" w:rsidP="00CD3BEF">
            <w:r w:rsidRPr="00711594">
              <w:t>3</w:t>
            </w:r>
            <w:r w:rsidR="00CD3BEF">
              <w:t>1</w:t>
            </w:r>
            <w:r w:rsidRPr="00711594">
              <w:t>-</w:t>
            </w:r>
            <w:r w:rsidR="00CD3BEF"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Portfolio Advisors Private Equity Fund VIII, LP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Private Equity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2015</w:t>
            </w:r>
          </w:p>
        </w:tc>
        <w:tc>
          <w:tcPr>
            <w:tcW w:w="1460" w:type="dxa"/>
            <w:hideMark/>
          </w:tcPr>
          <w:p w:rsidR="006748BD" w:rsidRPr="003506A0" w:rsidRDefault="006748BD" w:rsidP="006748BD">
            <w:r w:rsidRPr="003506A0">
              <w:t>25,000,000</w:t>
            </w:r>
          </w:p>
        </w:tc>
        <w:tc>
          <w:tcPr>
            <w:tcW w:w="1460" w:type="dxa"/>
            <w:hideMark/>
          </w:tcPr>
          <w:p w:rsidR="006748BD" w:rsidRPr="00892BDC" w:rsidRDefault="00CD3BEF" w:rsidP="00892BDC">
            <w:r>
              <w:t>16,052,143</w:t>
            </w:r>
          </w:p>
        </w:tc>
        <w:tc>
          <w:tcPr>
            <w:tcW w:w="1276" w:type="dxa"/>
            <w:hideMark/>
          </w:tcPr>
          <w:p w:rsidR="006748BD" w:rsidRPr="00892BDC" w:rsidRDefault="00892BDC" w:rsidP="006748BD">
            <w:r w:rsidRPr="00892BDC">
              <w:t>3,469,121</w:t>
            </w:r>
          </w:p>
        </w:tc>
        <w:tc>
          <w:tcPr>
            <w:tcW w:w="1218" w:type="dxa"/>
            <w:hideMark/>
          </w:tcPr>
          <w:p w:rsidR="006748BD" w:rsidRPr="00892BDC" w:rsidRDefault="00CD3BEF" w:rsidP="006748BD">
            <w:r>
              <w:t>17,237,326</w:t>
            </w:r>
          </w:p>
        </w:tc>
        <w:tc>
          <w:tcPr>
            <w:tcW w:w="871" w:type="dxa"/>
            <w:hideMark/>
          </w:tcPr>
          <w:p w:rsidR="006748BD" w:rsidRPr="00207BA5" w:rsidRDefault="00CD3BEF" w:rsidP="006748BD">
            <w:r>
              <w:t>14.6</w:t>
            </w:r>
            <w:r w:rsidR="006748BD" w:rsidRPr="00207BA5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Vesey Street Fund V (ERISA), LP - Blackrock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Private Equity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2014</w:t>
            </w:r>
          </w:p>
        </w:tc>
        <w:tc>
          <w:tcPr>
            <w:tcW w:w="1460" w:type="dxa"/>
            <w:hideMark/>
          </w:tcPr>
          <w:p w:rsidR="006748BD" w:rsidRPr="008C7878" w:rsidRDefault="006748BD" w:rsidP="006748BD">
            <w:r w:rsidRPr="008C7878">
              <w:t>25,000,000</w:t>
            </w:r>
          </w:p>
        </w:tc>
        <w:tc>
          <w:tcPr>
            <w:tcW w:w="1460" w:type="dxa"/>
            <w:hideMark/>
          </w:tcPr>
          <w:p w:rsidR="006748BD" w:rsidRPr="008C7878" w:rsidRDefault="006748BD" w:rsidP="006748BD">
            <w:r w:rsidRPr="008C7878">
              <w:t>18,062,500</w:t>
            </w:r>
          </w:p>
        </w:tc>
        <w:tc>
          <w:tcPr>
            <w:tcW w:w="1276" w:type="dxa"/>
            <w:hideMark/>
          </w:tcPr>
          <w:p w:rsidR="006748BD" w:rsidRPr="008C7878" w:rsidRDefault="00CD3BEF" w:rsidP="006748BD">
            <w:r>
              <w:t>500,000</w:t>
            </w:r>
          </w:p>
        </w:tc>
        <w:tc>
          <w:tcPr>
            <w:tcW w:w="1218" w:type="dxa"/>
            <w:hideMark/>
          </w:tcPr>
          <w:p w:rsidR="006748BD" w:rsidRPr="008C7878" w:rsidRDefault="00CD3BEF" w:rsidP="006748BD">
            <w:r>
              <w:t>22,015,612</w:t>
            </w:r>
          </w:p>
        </w:tc>
        <w:tc>
          <w:tcPr>
            <w:tcW w:w="871" w:type="dxa"/>
            <w:hideMark/>
          </w:tcPr>
          <w:p w:rsidR="006748BD" w:rsidRPr="008C7878" w:rsidRDefault="008C7878" w:rsidP="00CD3BEF">
            <w:r w:rsidRPr="008C7878">
              <w:t>8.</w:t>
            </w:r>
            <w:r w:rsidR="00CD3BEF">
              <w:t>2</w:t>
            </w:r>
            <w:r w:rsidR="006748BD" w:rsidRPr="008C7878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Molpus III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Timber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2011</w:t>
            </w:r>
          </w:p>
        </w:tc>
        <w:tc>
          <w:tcPr>
            <w:tcW w:w="1460" w:type="dxa"/>
            <w:hideMark/>
          </w:tcPr>
          <w:p w:rsidR="006748BD" w:rsidRPr="003506A0" w:rsidRDefault="006748BD" w:rsidP="006748BD">
            <w:r w:rsidRPr="003506A0">
              <w:t>15,000,000</w:t>
            </w:r>
          </w:p>
        </w:tc>
        <w:tc>
          <w:tcPr>
            <w:tcW w:w="1460" w:type="dxa"/>
            <w:hideMark/>
          </w:tcPr>
          <w:p w:rsidR="006748BD" w:rsidRPr="00224058" w:rsidRDefault="006748BD" w:rsidP="006748BD">
            <w:r w:rsidRPr="00224058">
              <w:t>14,175,000</w:t>
            </w:r>
          </w:p>
        </w:tc>
        <w:tc>
          <w:tcPr>
            <w:tcW w:w="1276" w:type="dxa"/>
            <w:hideMark/>
          </w:tcPr>
          <w:p w:rsidR="006748BD" w:rsidRPr="00960549" w:rsidRDefault="00CD3BEF" w:rsidP="006748BD">
            <w:r w:rsidRPr="00960549">
              <w:t>4,965,092</w:t>
            </w:r>
          </w:p>
        </w:tc>
        <w:tc>
          <w:tcPr>
            <w:tcW w:w="1218" w:type="dxa"/>
            <w:hideMark/>
          </w:tcPr>
          <w:p w:rsidR="006748BD" w:rsidRPr="00960549" w:rsidRDefault="00224058" w:rsidP="00960549">
            <w:r w:rsidRPr="00960549">
              <w:t>13,</w:t>
            </w:r>
            <w:r w:rsidR="00960549" w:rsidRPr="00960549">
              <w:t>444,089</w:t>
            </w:r>
          </w:p>
        </w:tc>
        <w:tc>
          <w:tcPr>
            <w:tcW w:w="871" w:type="dxa"/>
            <w:hideMark/>
          </w:tcPr>
          <w:p w:rsidR="006748BD" w:rsidRPr="00D0264D" w:rsidRDefault="006748BD" w:rsidP="00D0264D">
            <w:r w:rsidRPr="00D0264D">
              <w:t>4.</w:t>
            </w:r>
            <w:r w:rsidR="00D0264D" w:rsidRPr="00D0264D">
              <w:t>3</w:t>
            </w:r>
            <w:r w:rsidRPr="00D0264D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Molpus IV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Timber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2015</w:t>
            </w:r>
          </w:p>
        </w:tc>
        <w:tc>
          <w:tcPr>
            <w:tcW w:w="1460" w:type="dxa"/>
            <w:hideMark/>
          </w:tcPr>
          <w:p w:rsidR="006748BD" w:rsidRPr="003506A0" w:rsidRDefault="006748BD" w:rsidP="006748BD">
            <w:r w:rsidRPr="003506A0">
              <w:t>6,000,000</w:t>
            </w:r>
          </w:p>
        </w:tc>
        <w:tc>
          <w:tcPr>
            <w:tcW w:w="1460" w:type="dxa"/>
            <w:hideMark/>
          </w:tcPr>
          <w:p w:rsidR="006748BD" w:rsidRPr="003A56B9" w:rsidRDefault="006748BD" w:rsidP="006748BD">
            <w:r w:rsidRPr="003A56B9">
              <w:t>5,436,000</w:t>
            </w:r>
          </w:p>
        </w:tc>
        <w:tc>
          <w:tcPr>
            <w:tcW w:w="1276" w:type="dxa"/>
            <w:hideMark/>
          </w:tcPr>
          <w:p w:rsidR="006748BD" w:rsidRPr="00960549" w:rsidRDefault="00960549" w:rsidP="006748BD">
            <w:r w:rsidRPr="00960549">
              <w:t>140,376</w:t>
            </w:r>
          </w:p>
        </w:tc>
        <w:tc>
          <w:tcPr>
            <w:tcW w:w="1218" w:type="dxa"/>
            <w:hideMark/>
          </w:tcPr>
          <w:p w:rsidR="006748BD" w:rsidRPr="00960549" w:rsidRDefault="006748BD" w:rsidP="00960549">
            <w:r w:rsidRPr="00960549">
              <w:t>5,</w:t>
            </w:r>
            <w:r w:rsidR="00960549" w:rsidRPr="00960549">
              <w:t>299,748</w:t>
            </w:r>
          </w:p>
        </w:tc>
        <w:tc>
          <w:tcPr>
            <w:tcW w:w="871" w:type="dxa"/>
            <w:hideMark/>
          </w:tcPr>
          <w:p w:rsidR="006748BD" w:rsidRPr="00D0264D" w:rsidRDefault="003A56B9" w:rsidP="00D0264D">
            <w:r w:rsidRPr="00D0264D">
              <w:t>1.</w:t>
            </w:r>
            <w:r w:rsidR="00D0264D" w:rsidRPr="00D0264D">
              <w:t>8</w:t>
            </w:r>
            <w:r w:rsidR="006748BD" w:rsidRPr="00D0264D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Regions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Timber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2008</w:t>
            </w:r>
          </w:p>
        </w:tc>
        <w:tc>
          <w:tcPr>
            <w:tcW w:w="1460" w:type="dxa"/>
            <w:hideMark/>
          </w:tcPr>
          <w:p w:rsidR="006748BD" w:rsidRPr="003506A0" w:rsidRDefault="006748BD" w:rsidP="006748BD">
            <w:r w:rsidRPr="003506A0">
              <w:t>35,000,000</w:t>
            </w:r>
          </w:p>
        </w:tc>
        <w:tc>
          <w:tcPr>
            <w:tcW w:w="1460" w:type="dxa"/>
            <w:hideMark/>
          </w:tcPr>
          <w:p w:rsidR="006748BD" w:rsidRPr="00892BDC" w:rsidRDefault="006748BD" w:rsidP="006748BD">
            <w:r w:rsidRPr="00892BDC">
              <w:t>49,042,438</w:t>
            </w:r>
          </w:p>
        </w:tc>
        <w:tc>
          <w:tcPr>
            <w:tcW w:w="1276" w:type="dxa"/>
            <w:hideMark/>
          </w:tcPr>
          <w:p w:rsidR="006748BD" w:rsidRPr="00892BDC" w:rsidRDefault="006748BD" w:rsidP="00B31BFB">
            <w:r w:rsidRPr="00892BDC">
              <w:t>18,</w:t>
            </w:r>
            <w:r w:rsidR="00B31BFB">
              <w:t>50</w:t>
            </w:r>
            <w:r w:rsidR="00892BDC" w:rsidRPr="00892BDC">
              <w:t>0</w:t>
            </w:r>
            <w:r w:rsidRPr="00892BDC">
              <w:t>,000</w:t>
            </w:r>
          </w:p>
        </w:tc>
        <w:tc>
          <w:tcPr>
            <w:tcW w:w="1218" w:type="dxa"/>
            <w:hideMark/>
          </w:tcPr>
          <w:p w:rsidR="006748BD" w:rsidRPr="00892BDC" w:rsidRDefault="00892BDC" w:rsidP="00B31BFB">
            <w:r w:rsidRPr="00892BDC">
              <w:t>5</w:t>
            </w:r>
            <w:r w:rsidR="00B31BFB">
              <w:t>6,811,005</w:t>
            </w:r>
          </w:p>
        </w:tc>
        <w:tc>
          <w:tcPr>
            <w:tcW w:w="871" w:type="dxa"/>
            <w:hideMark/>
          </w:tcPr>
          <w:p w:rsidR="006748BD" w:rsidRPr="00D0264D" w:rsidRDefault="00D0264D" w:rsidP="00892BDC">
            <w:r w:rsidRPr="00D0264D">
              <w:t>28.6</w:t>
            </w:r>
            <w:r w:rsidR="006748BD" w:rsidRPr="00D0264D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PRISA I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Real Estate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1993</w:t>
            </w:r>
          </w:p>
        </w:tc>
        <w:tc>
          <w:tcPr>
            <w:tcW w:w="1460" w:type="dxa"/>
            <w:hideMark/>
          </w:tcPr>
          <w:p w:rsidR="006748BD" w:rsidRPr="003506A0" w:rsidRDefault="006748BD" w:rsidP="006748BD">
            <w:r w:rsidRPr="003506A0">
              <w:t>1,050,390</w:t>
            </w:r>
          </w:p>
        </w:tc>
        <w:tc>
          <w:tcPr>
            <w:tcW w:w="1460" w:type="dxa"/>
            <w:hideMark/>
          </w:tcPr>
          <w:p w:rsidR="006748BD" w:rsidRPr="008425D9" w:rsidRDefault="006748BD" w:rsidP="006748BD">
            <w:r w:rsidRPr="008425D9">
              <w:t>6,290,419</w:t>
            </w:r>
          </w:p>
        </w:tc>
        <w:tc>
          <w:tcPr>
            <w:tcW w:w="1276" w:type="dxa"/>
            <w:hideMark/>
          </w:tcPr>
          <w:p w:rsidR="006748BD" w:rsidRPr="008425D9" w:rsidRDefault="00B31BFB" w:rsidP="006748BD">
            <w:r>
              <w:t>5,879,946</w:t>
            </w:r>
          </w:p>
        </w:tc>
        <w:tc>
          <w:tcPr>
            <w:tcW w:w="1218" w:type="dxa"/>
            <w:hideMark/>
          </w:tcPr>
          <w:p w:rsidR="006748BD" w:rsidRPr="00191E54" w:rsidRDefault="00B31BFB" w:rsidP="00B31BFB">
            <w:r>
              <w:t>17,688,876</w:t>
            </w:r>
          </w:p>
        </w:tc>
        <w:tc>
          <w:tcPr>
            <w:tcW w:w="871" w:type="dxa"/>
            <w:hideMark/>
          </w:tcPr>
          <w:p w:rsidR="006748BD" w:rsidRPr="00D0264D" w:rsidRDefault="00D0264D" w:rsidP="006748BD">
            <w:r w:rsidRPr="00D0264D">
              <w:t>9.0</w:t>
            </w:r>
            <w:r w:rsidR="006748BD" w:rsidRPr="00D0264D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>
            <w:r w:rsidRPr="003506A0">
              <w:t>PRISA II</w:t>
            </w:r>
          </w:p>
        </w:tc>
        <w:tc>
          <w:tcPr>
            <w:tcW w:w="1381" w:type="dxa"/>
            <w:hideMark/>
          </w:tcPr>
          <w:p w:rsidR="006748BD" w:rsidRPr="003506A0" w:rsidRDefault="006748BD" w:rsidP="006748BD">
            <w:r w:rsidRPr="003506A0">
              <w:t>Real Estate</w:t>
            </w:r>
          </w:p>
        </w:tc>
        <w:tc>
          <w:tcPr>
            <w:tcW w:w="1047" w:type="dxa"/>
            <w:hideMark/>
          </w:tcPr>
          <w:p w:rsidR="006748BD" w:rsidRPr="003506A0" w:rsidRDefault="006748BD" w:rsidP="006748BD">
            <w:r w:rsidRPr="003506A0">
              <w:t>USD</w:t>
            </w:r>
          </w:p>
        </w:tc>
        <w:tc>
          <w:tcPr>
            <w:tcW w:w="1285" w:type="dxa"/>
            <w:hideMark/>
          </w:tcPr>
          <w:p w:rsidR="006748BD" w:rsidRPr="003506A0" w:rsidRDefault="006748BD" w:rsidP="006748BD">
            <w:r w:rsidRPr="003506A0">
              <w:t>1989</w:t>
            </w:r>
          </w:p>
        </w:tc>
        <w:tc>
          <w:tcPr>
            <w:tcW w:w="1460" w:type="dxa"/>
            <w:hideMark/>
          </w:tcPr>
          <w:p w:rsidR="006748BD" w:rsidRPr="003506A0" w:rsidRDefault="006748BD" w:rsidP="006748BD">
            <w:r w:rsidRPr="003506A0">
              <w:t>1,500,000</w:t>
            </w:r>
          </w:p>
        </w:tc>
        <w:tc>
          <w:tcPr>
            <w:tcW w:w="1460" w:type="dxa"/>
            <w:hideMark/>
          </w:tcPr>
          <w:p w:rsidR="006748BD" w:rsidRPr="008425D9" w:rsidRDefault="006748BD" w:rsidP="006748BD">
            <w:r w:rsidRPr="008425D9">
              <w:t>7,400,392</w:t>
            </w:r>
          </w:p>
        </w:tc>
        <w:tc>
          <w:tcPr>
            <w:tcW w:w="1276" w:type="dxa"/>
            <w:hideMark/>
          </w:tcPr>
          <w:p w:rsidR="006748BD" w:rsidRPr="008425D9" w:rsidRDefault="00B31BFB" w:rsidP="006748BD">
            <w:r>
              <w:t>7,366,317</w:t>
            </w:r>
          </w:p>
        </w:tc>
        <w:tc>
          <w:tcPr>
            <w:tcW w:w="1218" w:type="dxa"/>
            <w:hideMark/>
          </w:tcPr>
          <w:p w:rsidR="006748BD" w:rsidRPr="00191E54" w:rsidRDefault="00B31BFB" w:rsidP="006748BD">
            <w:r>
              <w:t>24,947,437</w:t>
            </w:r>
          </w:p>
        </w:tc>
        <w:tc>
          <w:tcPr>
            <w:tcW w:w="871" w:type="dxa"/>
            <w:hideMark/>
          </w:tcPr>
          <w:p w:rsidR="006748BD" w:rsidRPr="00D0264D" w:rsidRDefault="00D0264D" w:rsidP="006748BD">
            <w:r w:rsidRPr="00D0264D">
              <w:t>9.9</w:t>
            </w:r>
            <w:r w:rsidR="006748BD" w:rsidRPr="00D0264D">
              <w:t>%</w:t>
            </w:r>
          </w:p>
        </w:tc>
        <w:tc>
          <w:tcPr>
            <w:tcW w:w="1345" w:type="dxa"/>
            <w:hideMark/>
          </w:tcPr>
          <w:p w:rsidR="006748BD" w:rsidRPr="00BC47D6" w:rsidRDefault="00CD3BEF" w:rsidP="00C735B3">
            <w:r w:rsidRPr="00711594">
              <w:t>3</w:t>
            </w:r>
            <w:r>
              <w:t>1</w:t>
            </w:r>
            <w:r w:rsidRPr="00711594">
              <w:t>-</w:t>
            </w:r>
            <w:r>
              <w:t>Dec-</w:t>
            </w:r>
            <w:r w:rsidRPr="00711594">
              <w:t>2018</w:t>
            </w:r>
          </w:p>
        </w:tc>
      </w:tr>
      <w:tr w:rsidR="006748BD" w:rsidRPr="003506A0" w:rsidTr="006748BD">
        <w:trPr>
          <w:trHeight w:val="255"/>
        </w:trPr>
        <w:tc>
          <w:tcPr>
            <w:tcW w:w="3147" w:type="dxa"/>
            <w:hideMark/>
          </w:tcPr>
          <w:p w:rsidR="006748BD" w:rsidRPr="003506A0" w:rsidRDefault="006748BD" w:rsidP="006748BD"/>
        </w:tc>
        <w:tc>
          <w:tcPr>
            <w:tcW w:w="1381" w:type="dxa"/>
            <w:hideMark/>
          </w:tcPr>
          <w:p w:rsidR="006748BD" w:rsidRPr="003506A0" w:rsidRDefault="006748BD" w:rsidP="006748BD"/>
        </w:tc>
        <w:tc>
          <w:tcPr>
            <w:tcW w:w="1047" w:type="dxa"/>
            <w:hideMark/>
          </w:tcPr>
          <w:p w:rsidR="006748BD" w:rsidRPr="003506A0" w:rsidRDefault="006748BD" w:rsidP="006748BD"/>
        </w:tc>
        <w:tc>
          <w:tcPr>
            <w:tcW w:w="1285" w:type="dxa"/>
            <w:hideMark/>
          </w:tcPr>
          <w:p w:rsidR="006748BD" w:rsidRPr="003506A0" w:rsidRDefault="006748BD" w:rsidP="006748BD"/>
        </w:tc>
        <w:tc>
          <w:tcPr>
            <w:tcW w:w="1460" w:type="dxa"/>
            <w:hideMark/>
          </w:tcPr>
          <w:p w:rsidR="006748BD" w:rsidRPr="003506A0" w:rsidRDefault="006748BD" w:rsidP="006748BD"/>
        </w:tc>
        <w:tc>
          <w:tcPr>
            <w:tcW w:w="1460" w:type="dxa"/>
            <w:hideMark/>
          </w:tcPr>
          <w:p w:rsidR="006748BD" w:rsidRPr="003506A0" w:rsidRDefault="006748BD" w:rsidP="006748BD"/>
        </w:tc>
        <w:tc>
          <w:tcPr>
            <w:tcW w:w="1276" w:type="dxa"/>
            <w:hideMark/>
          </w:tcPr>
          <w:p w:rsidR="006748BD" w:rsidRPr="003506A0" w:rsidRDefault="006748BD" w:rsidP="006748BD"/>
        </w:tc>
        <w:tc>
          <w:tcPr>
            <w:tcW w:w="1218" w:type="dxa"/>
            <w:hideMark/>
          </w:tcPr>
          <w:p w:rsidR="006748BD" w:rsidRPr="003506A0" w:rsidRDefault="006748BD" w:rsidP="006748BD"/>
        </w:tc>
        <w:tc>
          <w:tcPr>
            <w:tcW w:w="871" w:type="dxa"/>
            <w:hideMark/>
          </w:tcPr>
          <w:p w:rsidR="006748BD" w:rsidRPr="00BC47D6" w:rsidRDefault="006748BD" w:rsidP="006748BD"/>
        </w:tc>
        <w:tc>
          <w:tcPr>
            <w:tcW w:w="1345" w:type="dxa"/>
            <w:hideMark/>
          </w:tcPr>
          <w:p w:rsidR="006748BD" w:rsidRPr="00BC47D6" w:rsidRDefault="006748BD" w:rsidP="006748BD"/>
        </w:tc>
      </w:tr>
    </w:tbl>
    <w:p w:rsidR="00DA5055" w:rsidRDefault="00DA5055"/>
    <w:sectPr w:rsidR="00DA5055" w:rsidSect="003506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A0"/>
    <w:rsid w:val="00075184"/>
    <w:rsid w:val="00191E54"/>
    <w:rsid w:val="00207BA5"/>
    <w:rsid w:val="00224058"/>
    <w:rsid w:val="003506A0"/>
    <w:rsid w:val="003A56B9"/>
    <w:rsid w:val="003D31BD"/>
    <w:rsid w:val="004A0CC8"/>
    <w:rsid w:val="006748BD"/>
    <w:rsid w:val="00711594"/>
    <w:rsid w:val="008425D9"/>
    <w:rsid w:val="00892BDC"/>
    <w:rsid w:val="008C7878"/>
    <w:rsid w:val="00960549"/>
    <w:rsid w:val="00B31BFB"/>
    <w:rsid w:val="00B43027"/>
    <w:rsid w:val="00B758AC"/>
    <w:rsid w:val="00BC47D6"/>
    <w:rsid w:val="00C735B3"/>
    <w:rsid w:val="00CD3BEF"/>
    <w:rsid w:val="00D0264D"/>
    <w:rsid w:val="00D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C496E-064A-4DF6-85BF-A3F62FD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Parker</dc:creator>
  <cp:keywords/>
  <dc:description/>
  <cp:lastModifiedBy>Haley Parker</cp:lastModifiedBy>
  <cp:revision>2</cp:revision>
  <dcterms:created xsi:type="dcterms:W3CDTF">2019-07-22T15:39:00Z</dcterms:created>
  <dcterms:modified xsi:type="dcterms:W3CDTF">2019-07-22T15:39:00Z</dcterms:modified>
</cp:coreProperties>
</file>