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03EC" w14:textId="77777777" w:rsidR="00292B18" w:rsidRDefault="00292B18" w:rsidP="00292B18"/>
    <w:p w14:paraId="5AE9AD68" w14:textId="634743C2" w:rsidR="00292B18" w:rsidRDefault="00292B18" w:rsidP="00292B18">
      <w:pPr>
        <w:jc w:val="right"/>
      </w:pPr>
      <w:r>
        <w:t>March 26, 2024</w:t>
      </w:r>
    </w:p>
    <w:p w14:paraId="6AEE9120" w14:textId="5951D1C5" w:rsidR="00292B18" w:rsidRDefault="00292B18" w:rsidP="00292B18">
      <w:pPr>
        <w:contextualSpacing/>
      </w:pPr>
      <w:r>
        <w:t>Dear Samuel Sinyangwe</w:t>
      </w:r>
    </w:p>
    <w:p w14:paraId="3B83DF30" w14:textId="3B858177" w:rsidR="00292B18" w:rsidRDefault="00292B18" w:rsidP="00292B18">
      <w:pPr>
        <w:contextualSpacing/>
      </w:pPr>
      <w:r>
        <w:t xml:space="preserve">          </w:t>
      </w:r>
      <w:proofErr w:type="spellStart"/>
      <w:r>
        <w:t>MuckRock</w:t>
      </w:r>
      <w:proofErr w:type="spellEnd"/>
      <w:r>
        <w:t xml:space="preserve"> News</w:t>
      </w:r>
    </w:p>
    <w:p w14:paraId="10B2679B" w14:textId="77777777" w:rsidR="00292B18" w:rsidRDefault="00292B18" w:rsidP="00292B18"/>
    <w:p w14:paraId="7317DF88" w14:textId="5438517B" w:rsidR="00292B18" w:rsidRDefault="00292B18" w:rsidP="00292B18">
      <w:r>
        <w:t>In response to your Public Records Request with the Walnut Creek Police Department regarding Use of Force incident and Citizen Complaints. Please be advised both SB 1421 and public transparency information regarding Use of Force and misconduct incidents are located on our website under our transparency page</w:t>
      </w:r>
      <w:r w:rsidR="007717F7">
        <w:t xml:space="preserve"> at</w:t>
      </w:r>
      <w:r>
        <w:t xml:space="preserve"> </w:t>
      </w:r>
      <w:proofErr w:type="gramStart"/>
      <w:r w:rsidR="007717F7" w:rsidRPr="007717F7">
        <w:t>https://www.walnutcreekpdca.gov/i-want-to/view-transparency-portal</w:t>
      </w:r>
      <w:proofErr w:type="gramEnd"/>
    </w:p>
    <w:p w14:paraId="75E76A73" w14:textId="77777777" w:rsidR="00292B18" w:rsidRDefault="00292B18" w:rsidP="00292B18">
      <w:r>
        <w:t>The following are responsive records per your request.</w:t>
      </w:r>
    </w:p>
    <w:p w14:paraId="49EBBC55" w14:textId="77777777" w:rsidR="00292B18" w:rsidRDefault="00292B18" w:rsidP="00292B18">
      <w:pPr>
        <w:pStyle w:val="ListParagraph"/>
        <w:numPr>
          <w:ilvl w:val="0"/>
          <w:numId w:val="1"/>
        </w:numPr>
      </w:pPr>
      <w:r>
        <w:t xml:space="preserve">There are no responsive documents for the year 2017 and 2018. Below are the total number of </w:t>
      </w:r>
      <w:proofErr w:type="gramStart"/>
      <w:r>
        <w:t>use</w:t>
      </w:r>
      <w:proofErr w:type="gramEnd"/>
      <w:r>
        <w:t xml:space="preserve"> of force incidents reported: </w:t>
      </w:r>
    </w:p>
    <w:p w14:paraId="73A4DAC6" w14:textId="77777777" w:rsidR="00292B18" w:rsidRDefault="00292B18" w:rsidP="00292B18">
      <w:pPr>
        <w:pStyle w:val="ListParagraph"/>
        <w:numPr>
          <w:ilvl w:val="1"/>
          <w:numId w:val="1"/>
        </w:numPr>
      </w:pPr>
      <w:r>
        <w:t>2019- 6</w:t>
      </w:r>
    </w:p>
    <w:p w14:paraId="1669CC3A" w14:textId="77777777" w:rsidR="00292B18" w:rsidRDefault="00292B18" w:rsidP="00292B18">
      <w:pPr>
        <w:pStyle w:val="ListParagraph"/>
        <w:numPr>
          <w:ilvl w:val="1"/>
          <w:numId w:val="1"/>
        </w:numPr>
      </w:pPr>
      <w:r>
        <w:t>2020- 11</w:t>
      </w:r>
    </w:p>
    <w:p w14:paraId="73CC8EEE" w14:textId="77777777" w:rsidR="00292B18" w:rsidRDefault="00292B18" w:rsidP="00292B18">
      <w:pPr>
        <w:pStyle w:val="ListParagraph"/>
        <w:numPr>
          <w:ilvl w:val="1"/>
          <w:numId w:val="1"/>
        </w:numPr>
      </w:pPr>
      <w:r>
        <w:t>2021- 3</w:t>
      </w:r>
    </w:p>
    <w:p w14:paraId="099433B4" w14:textId="77777777" w:rsidR="00292B18" w:rsidRDefault="00292B18" w:rsidP="00292B18">
      <w:pPr>
        <w:pStyle w:val="ListParagraph"/>
        <w:numPr>
          <w:ilvl w:val="1"/>
          <w:numId w:val="1"/>
        </w:numPr>
      </w:pPr>
      <w:r>
        <w:t>2022- 12</w:t>
      </w:r>
    </w:p>
    <w:p w14:paraId="159041F5" w14:textId="77777777" w:rsidR="00292B18" w:rsidRDefault="00292B18" w:rsidP="00292B18">
      <w:pPr>
        <w:pStyle w:val="ListParagraph"/>
        <w:numPr>
          <w:ilvl w:val="1"/>
          <w:numId w:val="1"/>
        </w:numPr>
      </w:pPr>
      <w:r>
        <w:t>2023- 9</w:t>
      </w:r>
    </w:p>
    <w:p w14:paraId="5A3F0501" w14:textId="77777777" w:rsidR="00292B18" w:rsidRDefault="00292B18" w:rsidP="00292B18">
      <w:pPr>
        <w:pStyle w:val="ListParagraph"/>
        <w:ind w:left="1440"/>
      </w:pPr>
    </w:p>
    <w:p w14:paraId="3EAFEFA0" w14:textId="77777777" w:rsidR="00292B18" w:rsidRDefault="00292B18" w:rsidP="00292B18">
      <w:pPr>
        <w:pStyle w:val="ListParagraph"/>
        <w:numPr>
          <w:ilvl w:val="0"/>
          <w:numId w:val="1"/>
        </w:numPr>
      </w:pPr>
      <w:r>
        <w:t>There are no responsive documents for the year 2017 and 2018. Total number of force incidents, separated by force and year:</w:t>
      </w:r>
    </w:p>
    <w:p w14:paraId="7E88950D" w14:textId="77777777" w:rsidR="00292B18" w:rsidRDefault="00292B18" w:rsidP="00292B18">
      <w:pPr>
        <w:pStyle w:val="ListParagraph"/>
        <w:numPr>
          <w:ilvl w:val="1"/>
          <w:numId w:val="1"/>
        </w:numPr>
      </w:pPr>
      <w:r>
        <w:t>The below chart shows our percent of force applications for the past 5 years.</w:t>
      </w:r>
    </w:p>
    <w:p w14:paraId="58CB224F" w14:textId="77777777" w:rsidR="00292B18" w:rsidRDefault="00292B18" w:rsidP="00292B18">
      <w:pPr>
        <w:pStyle w:val="ListParagraph"/>
        <w:ind w:left="1440"/>
      </w:pPr>
      <w:r>
        <w:rPr>
          <w:noProof/>
        </w:rPr>
        <w:drawing>
          <wp:anchor distT="0" distB="0" distL="114300" distR="114300" simplePos="0" relativeHeight="251659264" behindDoc="1" locked="0" layoutInCell="1" allowOverlap="1" wp14:anchorId="014BC5CA" wp14:editId="52EF8C55">
            <wp:simplePos x="0" y="0"/>
            <wp:positionH relativeFrom="column">
              <wp:posOffset>958850</wp:posOffset>
            </wp:positionH>
            <wp:positionV relativeFrom="paragraph">
              <wp:posOffset>88900</wp:posOffset>
            </wp:positionV>
            <wp:extent cx="4191000" cy="2264833"/>
            <wp:effectExtent l="0" t="0" r="0" b="2540"/>
            <wp:wrapNone/>
            <wp:docPr id="5" name="Chart 5">
              <a:extLst xmlns:a="http://schemas.openxmlformats.org/drawingml/2006/main">
                <a:ext uri="{FF2B5EF4-FFF2-40B4-BE49-F238E27FC236}">
                  <a16:creationId xmlns:a16="http://schemas.microsoft.com/office/drawing/2014/main" id="{A973A9FA-2606-330D-84A2-FB5439F833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03F02405" w14:textId="77777777" w:rsidR="00292B18" w:rsidRPr="002D7F42" w:rsidRDefault="00292B18" w:rsidP="00292B18"/>
    <w:p w14:paraId="2EA275D6" w14:textId="77777777" w:rsidR="00292B18" w:rsidRPr="002D7F42" w:rsidRDefault="00292B18" w:rsidP="00292B18"/>
    <w:p w14:paraId="298F580D" w14:textId="77777777" w:rsidR="00292B18" w:rsidRPr="002D7F42" w:rsidRDefault="00292B18" w:rsidP="00292B18"/>
    <w:p w14:paraId="7B31C53C" w14:textId="77777777" w:rsidR="00292B18" w:rsidRPr="002D7F42" w:rsidRDefault="00292B18" w:rsidP="00292B18"/>
    <w:p w14:paraId="3F6878D2" w14:textId="77777777" w:rsidR="00292B18" w:rsidRPr="002D7F42" w:rsidRDefault="00292B18" w:rsidP="00292B18"/>
    <w:p w14:paraId="25EFEB07" w14:textId="77777777" w:rsidR="00292B18" w:rsidRPr="002D7F42" w:rsidRDefault="00292B18" w:rsidP="00292B18"/>
    <w:p w14:paraId="2F8D58AE" w14:textId="77777777" w:rsidR="00292B18" w:rsidRDefault="00292B18" w:rsidP="00292B18">
      <w:pPr>
        <w:pStyle w:val="ListParagraph"/>
        <w:numPr>
          <w:ilvl w:val="1"/>
          <w:numId w:val="1"/>
        </w:numPr>
      </w:pPr>
      <w:r>
        <w:lastRenderedPageBreak/>
        <w:t xml:space="preserve">The following breakdown by weapon type is available only for 2023.  Officers used intermediate force in nine separate incidents.  In Seven incidents’ officers used multiple intermediate force options: </w:t>
      </w:r>
    </w:p>
    <w:p w14:paraId="5C8FE0B4" w14:textId="77777777" w:rsidR="00292B18" w:rsidRDefault="00292B18" w:rsidP="00292B18">
      <w:pPr>
        <w:pStyle w:val="ListParagraph"/>
        <w:numPr>
          <w:ilvl w:val="2"/>
          <w:numId w:val="1"/>
        </w:numPr>
      </w:pPr>
      <w:r>
        <w:t>CED – 10</w:t>
      </w:r>
    </w:p>
    <w:p w14:paraId="16AC3CE6" w14:textId="77777777" w:rsidR="00292B18" w:rsidRDefault="00292B18" w:rsidP="00292B18">
      <w:pPr>
        <w:pStyle w:val="ListParagraph"/>
        <w:numPr>
          <w:ilvl w:val="2"/>
          <w:numId w:val="1"/>
        </w:numPr>
      </w:pPr>
      <w:r>
        <w:t>Baton- 0</w:t>
      </w:r>
    </w:p>
    <w:p w14:paraId="68A8FF6C" w14:textId="77777777" w:rsidR="00292B18" w:rsidRDefault="00292B18" w:rsidP="00292B18">
      <w:pPr>
        <w:pStyle w:val="ListParagraph"/>
        <w:numPr>
          <w:ilvl w:val="2"/>
          <w:numId w:val="1"/>
        </w:numPr>
      </w:pPr>
      <w:r>
        <w:t>OC- 0</w:t>
      </w:r>
    </w:p>
    <w:p w14:paraId="365BB118" w14:textId="77777777" w:rsidR="00292B18" w:rsidRDefault="00292B18" w:rsidP="00292B18">
      <w:pPr>
        <w:pStyle w:val="ListParagraph"/>
        <w:numPr>
          <w:ilvl w:val="2"/>
          <w:numId w:val="1"/>
        </w:numPr>
      </w:pPr>
      <w:r>
        <w:t>Personal Body Weapons- 9</w:t>
      </w:r>
    </w:p>
    <w:p w14:paraId="76A5BDE8" w14:textId="77777777" w:rsidR="00292B18" w:rsidRDefault="00292B18" w:rsidP="00292B18">
      <w:pPr>
        <w:pStyle w:val="ListParagraph"/>
        <w:numPr>
          <w:ilvl w:val="2"/>
          <w:numId w:val="1"/>
        </w:numPr>
      </w:pPr>
      <w:r>
        <w:t>Firearms- 0</w:t>
      </w:r>
    </w:p>
    <w:p w14:paraId="4F736577" w14:textId="77777777" w:rsidR="00292B18" w:rsidRDefault="00292B18" w:rsidP="00292B18">
      <w:pPr>
        <w:pStyle w:val="ListParagraph"/>
        <w:numPr>
          <w:ilvl w:val="2"/>
          <w:numId w:val="1"/>
        </w:numPr>
      </w:pPr>
      <w:r>
        <w:t>K9- 0</w:t>
      </w:r>
    </w:p>
    <w:p w14:paraId="19086D8F" w14:textId="77777777" w:rsidR="00292B18" w:rsidRDefault="00292B18" w:rsidP="00292B18">
      <w:pPr>
        <w:pStyle w:val="ListParagraph"/>
        <w:numPr>
          <w:ilvl w:val="2"/>
          <w:numId w:val="1"/>
        </w:numPr>
      </w:pPr>
      <w:r>
        <w:t>Kinetic Energy Projectile – 9</w:t>
      </w:r>
    </w:p>
    <w:p w14:paraId="735FCCEE" w14:textId="77777777" w:rsidR="00292B18" w:rsidRDefault="00292B18" w:rsidP="00292B18">
      <w:pPr>
        <w:pStyle w:val="ListParagraph"/>
        <w:tabs>
          <w:tab w:val="left" w:pos="1120"/>
        </w:tabs>
        <w:ind w:left="1440"/>
      </w:pPr>
    </w:p>
    <w:p w14:paraId="651392B7" w14:textId="77777777" w:rsidR="00292B18" w:rsidRDefault="00292B18" w:rsidP="00292B18">
      <w:pPr>
        <w:pStyle w:val="ListParagraph"/>
        <w:numPr>
          <w:ilvl w:val="0"/>
          <w:numId w:val="1"/>
        </w:numPr>
        <w:tabs>
          <w:tab w:val="left" w:pos="1120"/>
        </w:tabs>
      </w:pPr>
      <w:r>
        <w:t>Total Number of civilian complaints against law enforcement that were reported, and the total number sustained from 2019-2023. There are no responsive documents for the year 2017 and 2018.</w:t>
      </w:r>
    </w:p>
    <w:tbl>
      <w:tblPr>
        <w:tblStyle w:val="TableGrid"/>
        <w:tblW w:w="9175" w:type="dxa"/>
        <w:tblLook w:val="04A0" w:firstRow="1" w:lastRow="0" w:firstColumn="1" w:lastColumn="0" w:noHBand="0" w:noVBand="1"/>
      </w:tblPr>
      <w:tblGrid>
        <w:gridCol w:w="2695"/>
        <w:gridCol w:w="1296"/>
        <w:gridCol w:w="1296"/>
        <w:gridCol w:w="1296"/>
        <w:gridCol w:w="1296"/>
        <w:gridCol w:w="1296"/>
      </w:tblGrid>
      <w:tr w:rsidR="00292B18" w:rsidRPr="003D1D65" w14:paraId="16ED0DF3" w14:textId="77777777" w:rsidTr="00CA6154">
        <w:trPr>
          <w:trHeight w:val="299"/>
        </w:trPr>
        <w:tc>
          <w:tcPr>
            <w:tcW w:w="2695" w:type="dxa"/>
            <w:shd w:val="clear" w:color="auto" w:fill="06205C"/>
          </w:tcPr>
          <w:p w14:paraId="3AF07602" w14:textId="77777777" w:rsidR="00292B18" w:rsidRPr="00B10525" w:rsidRDefault="00292B18" w:rsidP="00CA6154">
            <w:pPr>
              <w:tabs>
                <w:tab w:val="center" w:pos="1500"/>
                <w:tab w:val="right" w:pos="3001"/>
              </w:tabs>
              <w:jc w:val="center"/>
              <w:rPr>
                <w:color w:val="FFFFFF" w:themeColor="background1"/>
              </w:rPr>
            </w:pPr>
          </w:p>
        </w:tc>
        <w:tc>
          <w:tcPr>
            <w:tcW w:w="1296" w:type="dxa"/>
            <w:shd w:val="clear" w:color="auto" w:fill="06205C"/>
          </w:tcPr>
          <w:p w14:paraId="35EC0A69" w14:textId="77777777" w:rsidR="00292B18" w:rsidRPr="00B10525" w:rsidRDefault="00292B18" w:rsidP="00CA6154">
            <w:pPr>
              <w:jc w:val="center"/>
              <w:rPr>
                <w:color w:val="FFFFFF" w:themeColor="background1"/>
              </w:rPr>
            </w:pPr>
            <w:r w:rsidRPr="00B10525">
              <w:rPr>
                <w:color w:val="FFFFFF" w:themeColor="background1"/>
              </w:rPr>
              <w:t>201</w:t>
            </w:r>
            <w:r>
              <w:rPr>
                <w:color w:val="FFFFFF" w:themeColor="background1"/>
              </w:rPr>
              <w:t>9</w:t>
            </w:r>
          </w:p>
        </w:tc>
        <w:tc>
          <w:tcPr>
            <w:tcW w:w="1296" w:type="dxa"/>
            <w:shd w:val="clear" w:color="auto" w:fill="06205C"/>
          </w:tcPr>
          <w:p w14:paraId="3B583643" w14:textId="77777777" w:rsidR="00292B18" w:rsidRPr="00B10525" w:rsidRDefault="00292B18" w:rsidP="00CA6154">
            <w:pPr>
              <w:jc w:val="center"/>
              <w:rPr>
                <w:color w:val="FFFFFF" w:themeColor="background1"/>
              </w:rPr>
            </w:pPr>
            <w:r w:rsidRPr="00B10525">
              <w:rPr>
                <w:color w:val="FFFFFF" w:themeColor="background1"/>
              </w:rPr>
              <w:t>20</w:t>
            </w:r>
            <w:r>
              <w:rPr>
                <w:color w:val="FFFFFF" w:themeColor="background1"/>
              </w:rPr>
              <w:t>20</w:t>
            </w:r>
          </w:p>
        </w:tc>
        <w:tc>
          <w:tcPr>
            <w:tcW w:w="1296" w:type="dxa"/>
            <w:shd w:val="clear" w:color="auto" w:fill="06205C"/>
          </w:tcPr>
          <w:p w14:paraId="42267332" w14:textId="77777777" w:rsidR="00292B18" w:rsidRPr="00B10525" w:rsidRDefault="00292B18" w:rsidP="00CA6154">
            <w:pPr>
              <w:jc w:val="center"/>
              <w:rPr>
                <w:color w:val="FFFFFF" w:themeColor="background1"/>
              </w:rPr>
            </w:pPr>
            <w:r w:rsidRPr="00B10525">
              <w:rPr>
                <w:color w:val="FFFFFF" w:themeColor="background1"/>
              </w:rPr>
              <w:t>202</w:t>
            </w:r>
            <w:r>
              <w:rPr>
                <w:color w:val="FFFFFF" w:themeColor="background1"/>
              </w:rPr>
              <w:t>1</w:t>
            </w:r>
          </w:p>
        </w:tc>
        <w:tc>
          <w:tcPr>
            <w:tcW w:w="1296" w:type="dxa"/>
            <w:shd w:val="clear" w:color="auto" w:fill="06205C"/>
          </w:tcPr>
          <w:p w14:paraId="581E0A3F" w14:textId="77777777" w:rsidR="00292B18" w:rsidRPr="00B10525" w:rsidRDefault="00292B18" w:rsidP="00CA6154">
            <w:pPr>
              <w:jc w:val="center"/>
              <w:rPr>
                <w:color w:val="FFFFFF" w:themeColor="background1"/>
              </w:rPr>
            </w:pPr>
            <w:r w:rsidRPr="00B10525">
              <w:rPr>
                <w:color w:val="FFFFFF" w:themeColor="background1"/>
              </w:rPr>
              <w:t>202</w:t>
            </w:r>
            <w:r>
              <w:rPr>
                <w:color w:val="FFFFFF" w:themeColor="background1"/>
              </w:rPr>
              <w:t>2</w:t>
            </w:r>
          </w:p>
        </w:tc>
        <w:tc>
          <w:tcPr>
            <w:tcW w:w="1296" w:type="dxa"/>
            <w:shd w:val="clear" w:color="auto" w:fill="06205C"/>
          </w:tcPr>
          <w:p w14:paraId="137BFEDD" w14:textId="77777777" w:rsidR="00292B18" w:rsidRPr="00B10525" w:rsidRDefault="00292B18" w:rsidP="00CA6154">
            <w:pPr>
              <w:jc w:val="center"/>
              <w:rPr>
                <w:color w:val="FFFFFF" w:themeColor="background1"/>
              </w:rPr>
            </w:pPr>
            <w:r>
              <w:rPr>
                <w:color w:val="FFFFFF" w:themeColor="background1"/>
              </w:rPr>
              <w:t>2023</w:t>
            </w:r>
          </w:p>
        </w:tc>
      </w:tr>
      <w:tr w:rsidR="00292B18" w:rsidRPr="003D1D65" w14:paraId="1C7F20AE" w14:textId="77777777" w:rsidTr="00CA6154">
        <w:trPr>
          <w:trHeight w:val="282"/>
        </w:trPr>
        <w:tc>
          <w:tcPr>
            <w:tcW w:w="2695" w:type="dxa"/>
          </w:tcPr>
          <w:p w14:paraId="1F3CD675" w14:textId="77777777" w:rsidR="00292B18" w:rsidRPr="000449CB" w:rsidRDefault="00292B18" w:rsidP="00CA6154">
            <w:pPr>
              <w:jc w:val="center"/>
            </w:pPr>
            <w:r>
              <w:t>Unfounded</w:t>
            </w:r>
          </w:p>
        </w:tc>
        <w:tc>
          <w:tcPr>
            <w:tcW w:w="1296" w:type="dxa"/>
          </w:tcPr>
          <w:p w14:paraId="7BFBFC4D" w14:textId="77777777" w:rsidR="00292B18" w:rsidRPr="00B17877" w:rsidRDefault="00292B18" w:rsidP="00CA6154">
            <w:pPr>
              <w:jc w:val="center"/>
            </w:pPr>
            <w:r>
              <w:t>9</w:t>
            </w:r>
          </w:p>
        </w:tc>
        <w:tc>
          <w:tcPr>
            <w:tcW w:w="1296" w:type="dxa"/>
          </w:tcPr>
          <w:p w14:paraId="0D0AFFDA" w14:textId="77777777" w:rsidR="00292B18" w:rsidRPr="00B17877" w:rsidRDefault="00292B18" w:rsidP="00CA6154">
            <w:pPr>
              <w:jc w:val="center"/>
            </w:pPr>
            <w:r>
              <w:t>9</w:t>
            </w:r>
          </w:p>
        </w:tc>
        <w:tc>
          <w:tcPr>
            <w:tcW w:w="1296" w:type="dxa"/>
          </w:tcPr>
          <w:p w14:paraId="7A05F4A1" w14:textId="77777777" w:rsidR="00292B18" w:rsidRPr="00B17877" w:rsidRDefault="00292B18" w:rsidP="00CA6154">
            <w:pPr>
              <w:jc w:val="center"/>
            </w:pPr>
            <w:r>
              <w:t>11</w:t>
            </w:r>
          </w:p>
        </w:tc>
        <w:tc>
          <w:tcPr>
            <w:tcW w:w="1296" w:type="dxa"/>
          </w:tcPr>
          <w:p w14:paraId="5186CBA8" w14:textId="77777777" w:rsidR="00292B18" w:rsidRPr="00B17877" w:rsidRDefault="00292B18" w:rsidP="00CA6154">
            <w:pPr>
              <w:jc w:val="center"/>
            </w:pPr>
            <w:r>
              <w:t>2</w:t>
            </w:r>
          </w:p>
        </w:tc>
        <w:tc>
          <w:tcPr>
            <w:tcW w:w="1296" w:type="dxa"/>
          </w:tcPr>
          <w:p w14:paraId="3B3FDFF2" w14:textId="77777777" w:rsidR="00292B18" w:rsidRPr="00895A2E" w:rsidRDefault="00292B18" w:rsidP="00CA6154">
            <w:pPr>
              <w:jc w:val="center"/>
            </w:pPr>
            <w:r>
              <w:t>7</w:t>
            </w:r>
          </w:p>
        </w:tc>
      </w:tr>
      <w:tr w:rsidR="00292B18" w:rsidRPr="003D1D65" w14:paraId="69E9BF50" w14:textId="77777777" w:rsidTr="00CA6154">
        <w:trPr>
          <w:trHeight w:val="299"/>
        </w:trPr>
        <w:tc>
          <w:tcPr>
            <w:tcW w:w="2695" w:type="dxa"/>
          </w:tcPr>
          <w:p w14:paraId="54157DEA" w14:textId="77777777" w:rsidR="00292B18" w:rsidRPr="000449CB" w:rsidRDefault="00292B18" w:rsidP="00CA6154">
            <w:pPr>
              <w:jc w:val="center"/>
            </w:pPr>
            <w:r>
              <w:t>Exonerated</w:t>
            </w:r>
          </w:p>
        </w:tc>
        <w:tc>
          <w:tcPr>
            <w:tcW w:w="1296" w:type="dxa"/>
          </w:tcPr>
          <w:p w14:paraId="578C5784" w14:textId="77777777" w:rsidR="00292B18" w:rsidRPr="00802240" w:rsidRDefault="00292B18" w:rsidP="00CA6154">
            <w:pPr>
              <w:jc w:val="center"/>
            </w:pPr>
            <w:r>
              <w:t>0</w:t>
            </w:r>
          </w:p>
        </w:tc>
        <w:tc>
          <w:tcPr>
            <w:tcW w:w="1296" w:type="dxa"/>
          </w:tcPr>
          <w:p w14:paraId="3E06572B" w14:textId="77777777" w:rsidR="00292B18" w:rsidRPr="00802240" w:rsidRDefault="00292B18" w:rsidP="00CA6154">
            <w:pPr>
              <w:jc w:val="center"/>
            </w:pPr>
            <w:r>
              <w:t>0</w:t>
            </w:r>
          </w:p>
        </w:tc>
        <w:tc>
          <w:tcPr>
            <w:tcW w:w="1296" w:type="dxa"/>
          </w:tcPr>
          <w:p w14:paraId="144ADBE6" w14:textId="77777777" w:rsidR="00292B18" w:rsidRPr="00802240" w:rsidRDefault="00292B18" w:rsidP="00CA6154">
            <w:pPr>
              <w:jc w:val="center"/>
            </w:pPr>
            <w:r>
              <w:t>1</w:t>
            </w:r>
          </w:p>
        </w:tc>
        <w:tc>
          <w:tcPr>
            <w:tcW w:w="1296" w:type="dxa"/>
          </w:tcPr>
          <w:p w14:paraId="16E2C0C7" w14:textId="77777777" w:rsidR="00292B18" w:rsidRPr="00802240" w:rsidRDefault="00292B18" w:rsidP="00CA6154">
            <w:pPr>
              <w:jc w:val="center"/>
            </w:pPr>
            <w:r>
              <w:t>0</w:t>
            </w:r>
          </w:p>
        </w:tc>
        <w:tc>
          <w:tcPr>
            <w:tcW w:w="1296" w:type="dxa"/>
          </w:tcPr>
          <w:p w14:paraId="140A4AF1" w14:textId="77777777" w:rsidR="00292B18" w:rsidRPr="00895A2E" w:rsidRDefault="00292B18" w:rsidP="00CA6154">
            <w:pPr>
              <w:jc w:val="center"/>
            </w:pPr>
            <w:r>
              <w:t>0</w:t>
            </w:r>
          </w:p>
        </w:tc>
      </w:tr>
      <w:tr w:rsidR="00292B18" w:rsidRPr="003D1D65" w14:paraId="4F2C3742" w14:textId="77777777" w:rsidTr="00CA6154">
        <w:trPr>
          <w:trHeight w:val="299"/>
        </w:trPr>
        <w:tc>
          <w:tcPr>
            <w:tcW w:w="2695" w:type="dxa"/>
          </w:tcPr>
          <w:p w14:paraId="475D5001" w14:textId="77777777" w:rsidR="00292B18" w:rsidRPr="000449CB" w:rsidRDefault="00292B18" w:rsidP="00CA6154">
            <w:pPr>
              <w:jc w:val="center"/>
            </w:pPr>
            <w:r>
              <w:t>Not Sustained</w:t>
            </w:r>
          </w:p>
        </w:tc>
        <w:tc>
          <w:tcPr>
            <w:tcW w:w="1296" w:type="dxa"/>
          </w:tcPr>
          <w:p w14:paraId="61D31E70" w14:textId="77777777" w:rsidR="00292B18" w:rsidRPr="00C26AB1" w:rsidRDefault="00292B18" w:rsidP="00CA6154">
            <w:pPr>
              <w:jc w:val="center"/>
            </w:pPr>
            <w:r>
              <w:t>2</w:t>
            </w:r>
          </w:p>
        </w:tc>
        <w:tc>
          <w:tcPr>
            <w:tcW w:w="1296" w:type="dxa"/>
          </w:tcPr>
          <w:p w14:paraId="7B4393FD" w14:textId="77777777" w:rsidR="00292B18" w:rsidRPr="00C26AB1" w:rsidRDefault="00292B18" w:rsidP="00CA6154">
            <w:pPr>
              <w:jc w:val="center"/>
            </w:pPr>
            <w:r>
              <w:t>0</w:t>
            </w:r>
          </w:p>
        </w:tc>
        <w:tc>
          <w:tcPr>
            <w:tcW w:w="1296" w:type="dxa"/>
          </w:tcPr>
          <w:p w14:paraId="6A9140ED" w14:textId="77777777" w:rsidR="00292B18" w:rsidRPr="00C26AB1" w:rsidRDefault="00292B18" w:rsidP="00CA6154">
            <w:pPr>
              <w:jc w:val="center"/>
            </w:pPr>
            <w:r>
              <w:t>0</w:t>
            </w:r>
          </w:p>
        </w:tc>
        <w:tc>
          <w:tcPr>
            <w:tcW w:w="1296" w:type="dxa"/>
          </w:tcPr>
          <w:p w14:paraId="6174B337" w14:textId="77777777" w:rsidR="00292B18" w:rsidRPr="00C26AB1" w:rsidRDefault="00292B18" w:rsidP="00CA6154">
            <w:pPr>
              <w:jc w:val="center"/>
            </w:pPr>
            <w:r>
              <w:t>0</w:t>
            </w:r>
          </w:p>
        </w:tc>
        <w:tc>
          <w:tcPr>
            <w:tcW w:w="1296" w:type="dxa"/>
          </w:tcPr>
          <w:p w14:paraId="550C2D21" w14:textId="77777777" w:rsidR="00292B18" w:rsidRPr="00895A2E" w:rsidRDefault="00292B18" w:rsidP="00CA6154">
            <w:pPr>
              <w:jc w:val="center"/>
            </w:pPr>
            <w:r>
              <w:t>3</w:t>
            </w:r>
          </w:p>
        </w:tc>
      </w:tr>
      <w:tr w:rsidR="00292B18" w:rsidRPr="003D1D65" w14:paraId="7D9DA13F" w14:textId="77777777" w:rsidTr="00CA6154">
        <w:trPr>
          <w:trHeight w:val="299"/>
        </w:trPr>
        <w:tc>
          <w:tcPr>
            <w:tcW w:w="2695" w:type="dxa"/>
          </w:tcPr>
          <w:p w14:paraId="6E50CADF" w14:textId="77777777" w:rsidR="00292B18" w:rsidRDefault="00292B18" w:rsidP="00CA6154">
            <w:pPr>
              <w:jc w:val="center"/>
            </w:pPr>
            <w:r>
              <w:t>Sustained</w:t>
            </w:r>
          </w:p>
        </w:tc>
        <w:tc>
          <w:tcPr>
            <w:tcW w:w="1296" w:type="dxa"/>
          </w:tcPr>
          <w:p w14:paraId="2C83BC6E" w14:textId="77777777" w:rsidR="00292B18" w:rsidRPr="00C26AB1" w:rsidRDefault="00292B18" w:rsidP="00CA6154">
            <w:pPr>
              <w:jc w:val="center"/>
            </w:pPr>
            <w:r>
              <w:t>1</w:t>
            </w:r>
          </w:p>
        </w:tc>
        <w:tc>
          <w:tcPr>
            <w:tcW w:w="1296" w:type="dxa"/>
          </w:tcPr>
          <w:p w14:paraId="54E0A5B2" w14:textId="77777777" w:rsidR="00292B18" w:rsidRPr="00C26AB1" w:rsidRDefault="00292B18" w:rsidP="00CA6154">
            <w:pPr>
              <w:jc w:val="center"/>
            </w:pPr>
            <w:r>
              <w:t>1</w:t>
            </w:r>
          </w:p>
        </w:tc>
        <w:tc>
          <w:tcPr>
            <w:tcW w:w="1296" w:type="dxa"/>
          </w:tcPr>
          <w:p w14:paraId="4941806B" w14:textId="77777777" w:rsidR="00292B18" w:rsidRPr="00C26AB1" w:rsidRDefault="00292B18" w:rsidP="00CA6154">
            <w:pPr>
              <w:jc w:val="center"/>
            </w:pPr>
            <w:r>
              <w:t>0</w:t>
            </w:r>
          </w:p>
        </w:tc>
        <w:tc>
          <w:tcPr>
            <w:tcW w:w="1296" w:type="dxa"/>
          </w:tcPr>
          <w:p w14:paraId="70E87225" w14:textId="77777777" w:rsidR="00292B18" w:rsidRPr="00C26AB1" w:rsidRDefault="00292B18" w:rsidP="00CA6154">
            <w:pPr>
              <w:jc w:val="center"/>
            </w:pPr>
            <w:r>
              <w:t>3</w:t>
            </w:r>
          </w:p>
        </w:tc>
        <w:tc>
          <w:tcPr>
            <w:tcW w:w="1296" w:type="dxa"/>
          </w:tcPr>
          <w:p w14:paraId="206FD726" w14:textId="77777777" w:rsidR="00292B18" w:rsidRPr="00895A2E" w:rsidRDefault="00292B18" w:rsidP="00CA6154">
            <w:pPr>
              <w:jc w:val="center"/>
            </w:pPr>
            <w:r w:rsidRPr="00895A2E">
              <w:t>2</w:t>
            </w:r>
          </w:p>
        </w:tc>
      </w:tr>
      <w:tr w:rsidR="00292B18" w:rsidRPr="003D1D65" w14:paraId="022FA74B" w14:textId="77777777" w:rsidTr="00CA6154">
        <w:trPr>
          <w:trHeight w:val="282"/>
        </w:trPr>
        <w:tc>
          <w:tcPr>
            <w:tcW w:w="2695" w:type="dxa"/>
            <w:tcBorders>
              <w:bottom w:val="single" w:sz="12" w:space="0" w:color="auto"/>
            </w:tcBorders>
          </w:tcPr>
          <w:p w14:paraId="233FE2ED" w14:textId="77777777" w:rsidR="00292B18" w:rsidRPr="000449CB" w:rsidRDefault="00292B18" w:rsidP="00CA6154">
            <w:pPr>
              <w:jc w:val="center"/>
            </w:pPr>
            <w:r>
              <w:t>Pending</w:t>
            </w:r>
          </w:p>
        </w:tc>
        <w:tc>
          <w:tcPr>
            <w:tcW w:w="1296" w:type="dxa"/>
            <w:tcBorders>
              <w:bottom w:val="single" w:sz="12" w:space="0" w:color="auto"/>
            </w:tcBorders>
          </w:tcPr>
          <w:p w14:paraId="64F16D72" w14:textId="77777777" w:rsidR="00292B18" w:rsidRPr="00C26AB1" w:rsidRDefault="00292B18" w:rsidP="00CA6154">
            <w:pPr>
              <w:jc w:val="center"/>
            </w:pPr>
            <w:r w:rsidRPr="00C26AB1">
              <w:t>0</w:t>
            </w:r>
          </w:p>
        </w:tc>
        <w:tc>
          <w:tcPr>
            <w:tcW w:w="1296" w:type="dxa"/>
            <w:tcBorders>
              <w:bottom w:val="single" w:sz="12" w:space="0" w:color="auto"/>
            </w:tcBorders>
          </w:tcPr>
          <w:p w14:paraId="1D0095F8" w14:textId="77777777" w:rsidR="00292B18" w:rsidRPr="00C26AB1" w:rsidRDefault="00292B18" w:rsidP="00CA6154">
            <w:pPr>
              <w:jc w:val="center"/>
            </w:pPr>
            <w:r>
              <w:t>0</w:t>
            </w:r>
          </w:p>
        </w:tc>
        <w:tc>
          <w:tcPr>
            <w:tcW w:w="1296" w:type="dxa"/>
            <w:tcBorders>
              <w:bottom w:val="single" w:sz="12" w:space="0" w:color="auto"/>
            </w:tcBorders>
          </w:tcPr>
          <w:p w14:paraId="3A85FF9F" w14:textId="77777777" w:rsidR="00292B18" w:rsidRPr="00C26AB1" w:rsidRDefault="00292B18" w:rsidP="00CA6154">
            <w:pPr>
              <w:jc w:val="center"/>
            </w:pPr>
            <w:r w:rsidRPr="00EC767D">
              <w:t>0</w:t>
            </w:r>
          </w:p>
        </w:tc>
        <w:tc>
          <w:tcPr>
            <w:tcW w:w="1296" w:type="dxa"/>
            <w:tcBorders>
              <w:bottom w:val="single" w:sz="12" w:space="0" w:color="auto"/>
            </w:tcBorders>
          </w:tcPr>
          <w:p w14:paraId="41AC36E7" w14:textId="77777777" w:rsidR="00292B18" w:rsidRPr="002A2905" w:rsidRDefault="00292B18" w:rsidP="00CA6154">
            <w:pPr>
              <w:jc w:val="center"/>
            </w:pPr>
            <w:r w:rsidRPr="002A2905">
              <w:t>0</w:t>
            </w:r>
          </w:p>
        </w:tc>
        <w:tc>
          <w:tcPr>
            <w:tcW w:w="1296" w:type="dxa"/>
            <w:tcBorders>
              <w:bottom w:val="single" w:sz="12" w:space="0" w:color="auto"/>
            </w:tcBorders>
          </w:tcPr>
          <w:p w14:paraId="06C301FB" w14:textId="77777777" w:rsidR="00292B18" w:rsidRPr="00895A2E" w:rsidRDefault="00292B18" w:rsidP="00CA6154">
            <w:pPr>
              <w:jc w:val="center"/>
            </w:pPr>
            <w:r>
              <w:t>3</w:t>
            </w:r>
          </w:p>
        </w:tc>
      </w:tr>
      <w:tr w:rsidR="00292B18" w:rsidRPr="003D1D65" w14:paraId="5079349C" w14:textId="77777777" w:rsidTr="00CA6154">
        <w:trPr>
          <w:trHeight w:val="282"/>
        </w:trPr>
        <w:tc>
          <w:tcPr>
            <w:tcW w:w="2695" w:type="dxa"/>
            <w:tcBorders>
              <w:top w:val="single" w:sz="12" w:space="0" w:color="auto"/>
              <w:left w:val="single" w:sz="12" w:space="0" w:color="auto"/>
              <w:bottom w:val="single" w:sz="12" w:space="0" w:color="auto"/>
              <w:right w:val="single" w:sz="12" w:space="0" w:color="auto"/>
            </w:tcBorders>
          </w:tcPr>
          <w:p w14:paraId="7931A90E" w14:textId="77777777" w:rsidR="00292B18" w:rsidRPr="00B62C78" w:rsidRDefault="00292B18" w:rsidP="00CA6154">
            <w:pPr>
              <w:jc w:val="center"/>
              <w:rPr>
                <w:b/>
                <w:bCs/>
              </w:rPr>
            </w:pPr>
            <w:r w:rsidRPr="00B62C78">
              <w:rPr>
                <w:b/>
                <w:bCs/>
              </w:rPr>
              <w:t>TOTAL</w:t>
            </w:r>
          </w:p>
        </w:tc>
        <w:tc>
          <w:tcPr>
            <w:tcW w:w="1296" w:type="dxa"/>
            <w:tcBorders>
              <w:top w:val="single" w:sz="12" w:space="0" w:color="auto"/>
              <w:left w:val="single" w:sz="12" w:space="0" w:color="auto"/>
              <w:bottom w:val="single" w:sz="12" w:space="0" w:color="auto"/>
              <w:right w:val="single" w:sz="12" w:space="0" w:color="auto"/>
            </w:tcBorders>
          </w:tcPr>
          <w:p w14:paraId="012F82DE" w14:textId="77777777" w:rsidR="00292B18" w:rsidRPr="00B62C78" w:rsidRDefault="00292B18" w:rsidP="00CA6154">
            <w:pPr>
              <w:jc w:val="center"/>
              <w:rPr>
                <w:b/>
                <w:bCs/>
              </w:rPr>
            </w:pPr>
            <w:r>
              <w:rPr>
                <w:b/>
                <w:bCs/>
              </w:rPr>
              <w:t>12</w:t>
            </w:r>
          </w:p>
        </w:tc>
        <w:tc>
          <w:tcPr>
            <w:tcW w:w="1296" w:type="dxa"/>
            <w:tcBorders>
              <w:top w:val="single" w:sz="12" w:space="0" w:color="auto"/>
              <w:left w:val="single" w:sz="12" w:space="0" w:color="auto"/>
              <w:bottom w:val="single" w:sz="12" w:space="0" w:color="auto"/>
              <w:right w:val="single" w:sz="12" w:space="0" w:color="auto"/>
            </w:tcBorders>
          </w:tcPr>
          <w:p w14:paraId="16BC1DBF" w14:textId="77777777" w:rsidR="00292B18" w:rsidRPr="00B62C78" w:rsidRDefault="00292B18" w:rsidP="00CA6154">
            <w:pPr>
              <w:jc w:val="center"/>
              <w:rPr>
                <w:b/>
                <w:bCs/>
              </w:rPr>
            </w:pPr>
            <w:r>
              <w:rPr>
                <w:b/>
                <w:bCs/>
              </w:rPr>
              <w:t>10</w:t>
            </w:r>
          </w:p>
        </w:tc>
        <w:tc>
          <w:tcPr>
            <w:tcW w:w="1296" w:type="dxa"/>
            <w:tcBorders>
              <w:top w:val="single" w:sz="12" w:space="0" w:color="auto"/>
              <w:left w:val="single" w:sz="12" w:space="0" w:color="auto"/>
              <w:bottom w:val="single" w:sz="12" w:space="0" w:color="auto"/>
              <w:right w:val="single" w:sz="12" w:space="0" w:color="auto"/>
            </w:tcBorders>
          </w:tcPr>
          <w:p w14:paraId="49CDEA79" w14:textId="77777777" w:rsidR="00292B18" w:rsidRPr="00B62C78" w:rsidRDefault="00292B18" w:rsidP="00CA6154">
            <w:pPr>
              <w:jc w:val="center"/>
              <w:rPr>
                <w:b/>
                <w:bCs/>
              </w:rPr>
            </w:pPr>
            <w:r>
              <w:rPr>
                <w:b/>
                <w:bCs/>
              </w:rPr>
              <w:t>12</w:t>
            </w:r>
          </w:p>
        </w:tc>
        <w:tc>
          <w:tcPr>
            <w:tcW w:w="1296" w:type="dxa"/>
            <w:tcBorders>
              <w:top w:val="single" w:sz="12" w:space="0" w:color="auto"/>
              <w:left w:val="single" w:sz="12" w:space="0" w:color="auto"/>
              <w:bottom w:val="single" w:sz="12" w:space="0" w:color="auto"/>
              <w:right w:val="single" w:sz="12" w:space="0" w:color="auto"/>
            </w:tcBorders>
          </w:tcPr>
          <w:p w14:paraId="7BA9113D" w14:textId="77777777" w:rsidR="00292B18" w:rsidRPr="00B62C78" w:rsidRDefault="00292B18" w:rsidP="00CA6154">
            <w:pPr>
              <w:jc w:val="center"/>
              <w:rPr>
                <w:b/>
                <w:bCs/>
              </w:rPr>
            </w:pPr>
            <w:r>
              <w:rPr>
                <w:b/>
                <w:bCs/>
              </w:rPr>
              <w:t>5</w:t>
            </w:r>
          </w:p>
        </w:tc>
        <w:tc>
          <w:tcPr>
            <w:tcW w:w="1296" w:type="dxa"/>
            <w:tcBorders>
              <w:top w:val="single" w:sz="12" w:space="0" w:color="auto"/>
              <w:left w:val="single" w:sz="12" w:space="0" w:color="auto"/>
              <w:bottom w:val="single" w:sz="12" w:space="0" w:color="auto"/>
              <w:right w:val="single" w:sz="12" w:space="0" w:color="auto"/>
            </w:tcBorders>
          </w:tcPr>
          <w:p w14:paraId="20073B43" w14:textId="77777777" w:rsidR="00292B18" w:rsidRPr="00895A2E" w:rsidRDefault="00292B18" w:rsidP="00CA6154">
            <w:pPr>
              <w:jc w:val="center"/>
              <w:rPr>
                <w:b/>
                <w:bCs/>
              </w:rPr>
            </w:pPr>
            <w:r w:rsidRPr="00895A2E">
              <w:rPr>
                <w:b/>
                <w:bCs/>
              </w:rPr>
              <w:t>1</w:t>
            </w:r>
            <w:r>
              <w:rPr>
                <w:b/>
                <w:bCs/>
              </w:rPr>
              <w:t>5</w:t>
            </w:r>
          </w:p>
        </w:tc>
      </w:tr>
    </w:tbl>
    <w:p w14:paraId="54E41226" w14:textId="77777777" w:rsidR="00292B18" w:rsidRDefault="00292B18" w:rsidP="00292B18">
      <w:pPr>
        <w:tabs>
          <w:tab w:val="left" w:pos="1120"/>
        </w:tabs>
      </w:pPr>
    </w:p>
    <w:p w14:paraId="4C990E9A" w14:textId="77777777" w:rsidR="00292B18" w:rsidRDefault="00292B18" w:rsidP="00292B18">
      <w:pPr>
        <w:pStyle w:val="ListParagraph"/>
        <w:numPr>
          <w:ilvl w:val="0"/>
          <w:numId w:val="1"/>
        </w:numPr>
        <w:tabs>
          <w:tab w:val="left" w:pos="1120"/>
        </w:tabs>
      </w:pPr>
      <w:r>
        <w:t xml:space="preserve">There are no responsive documents for the years 2017 – 2022 for the total number of civilian complaints alleging law enforcement use of excessive force that were reported and the total number sustained.  In 2023 four allegations were made of alleged unlawful detention or excessive force.  Please refer to the above table for overall closure of the cases.  Specific closure for these instances is not available. </w:t>
      </w:r>
    </w:p>
    <w:p w14:paraId="26D1F8C6" w14:textId="77777777" w:rsidR="00292B18" w:rsidRDefault="00292B18" w:rsidP="00292B18">
      <w:pPr>
        <w:pStyle w:val="ListParagraph"/>
        <w:tabs>
          <w:tab w:val="left" w:pos="1120"/>
        </w:tabs>
      </w:pPr>
    </w:p>
    <w:p w14:paraId="60417AB3" w14:textId="77777777" w:rsidR="00292B18" w:rsidRDefault="00292B18" w:rsidP="00292B18">
      <w:pPr>
        <w:pStyle w:val="ListParagraph"/>
        <w:numPr>
          <w:ilvl w:val="0"/>
          <w:numId w:val="1"/>
        </w:numPr>
        <w:tabs>
          <w:tab w:val="left" w:pos="1120"/>
        </w:tabs>
      </w:pPr>
      <w:r>
        <w:t>There are no responsive documents for the years 2017 – 2022 for the total number of civilian complaints alleging law enforcement use of excessive force that were reported and the total number sustained.  In 2023</w:t>
      </w:r>
      <w:r w:rsidRPr="00CB2E11">
        <w:t xml:space="preserve"> </w:t>
      </w:r>
      <w:r>
        <w:t>six allegations were made of alleged racial or identity profiling. Please refer to the above table for overall closure of the cases.  Specific closure for these instances is not available.</w:t>
      </w:r>
    </w:p>
    <w:p w14:paraId="4B0D1CC3" w14:textId="77777777" w:rsidR="00292B18" w:rsidRDefault="00292B18" w:rsidP="00292B18">
      <w:pPr>
        <w:pStyle w:val="ListParagraph"/>
      </w:pPr>
    </w:p>
    <w:p w14:paraId="511548B8" w14:textId="77777777" w:rsidR="00292B18" w:rsidRDefault="00292B18" w:rsidP="00292B18">
      <w:pPr>
        <w:pStyle w:val="ListParagraph"/>
        <w:numPr>
          <w:ilvl w:val="0"/>
          <w:numId w:val="1"/>
        </w:numPr>
        <w:tabs>
          <w:tab w:val="left" w:pos="1120"/>
        </w:tabs>
      </w:pPr>
      <w:r>
        <w:t>There are no responsive documents for the years 2017 – 2022 for the total number of civilian complaints alleging law enforcement use of excessive force that were reported and the total number sustained.  In 2023</w:t>
      </w:r>
      <w:r w:rsidRPr="00CB2E11">
        <w:t xml:space="preserve"> </w:t>
      </w:r>
      <w:r>
        <w:t>no allegations of criminal misconduct were reported.</w:t>
      </w:r>
    </w:p>
    <w:p w14:paraId="43D2AF5E" w14:textId="77777777" w:rsidR="00292B18" w:rsidRDefault="00292B18" w:rsidP="00292B18">
      <w:pPr>
        <w:pStyle w:val="ListParagraph"/>
      </w:pPr>
    </w:p>
    <w:p w14:paraId="572F1202" w14:textId="77777777" w:rsidR="00292B18" w:rsidRDefault="00292B18" w:rsidP="00292B18">
      <w:pPr>
        <w:tabs>
          <w:tab w:val="left" w:pos="1120"/>
        </w:tabs>
      </w:pPr>
    </w:p>
    <w:p w14:paraId="786BEA7B" w14:textId="77777777" w:rsidR="00292B18" w:rsidRDefault="00292B18" w:rsidP="00292B18">
      <w:pPr>
        <w:pStyle w:val="ListParagraph"/>
        <w:tabs>
          <w:tab w:val="left" w:pos="1120"/>
        </w:tabs>
      </w:pPr>
    </w:p>
    <w:p w14:paraId="1176A6D8" w14:textId="7E009BF4" w:rsidR="00292B18" w:rsidRDefault="00292B18" w:rsidP="00292B18">
      <w:pPr>
        <w:pStyle w:val="ListParagraph"/>
        <w:numPr>
          <w:ilvl w:val="0"/>
          <w:numId w:val="1"/>
        </w:numPr>
        <w:tabs>
          <w:tab w:val="left" w:pos="1120"/>
        </w:tabs>
      </w:pPr>
      <w:r>
        <w:lastRenderedPageBreak/>
        <w:t>Total number of Officer involved Shootings is located on our transparency page from 1996 to present: Per your request I have itemized the years 2017-2023</w:t>
      </w:r>
    </w:p>
    <w:p w14:paraId="0FEB602C" w14:textId="77777777" w:rsidR="00292B18" w:rsidRDefault="00292B18" w:rsidP="00292B18">
      <w:pPr>
        <w:pStyle w:val="ListParagraph"/>
        <w:numPr>
          <w:ilvl w:val="1"/>
          <w:numId w:val="1"/>
        </w:numPr>
        <w:tabs>
          <w:tab w:val="left" w:pos="1120"/>
        </w:tabs>
      </w:pPr>
      <w:r>
        <w:t>2017- 0</w:t>
      </w:r>
    </w:p>
    <w:p w14:paraId="53D53832" w14:textId="77777777" w:rsidR="00292B18" w:rsidRDefault="00292B18" w:rsidP="00292B18">
      <w:pPr>
        <w:pStyle w:val="ListParagraph"/>
        <w:numPr>
          <w:ilvl w:val="1"/>
          <w:numId w:val="1"/>
        </w:numPr>
        <w:tabs>
          <w:tab w:val="left" w:pos="1120"/>
        </w:tabs>
      </w:pPr>
      <w:r>
        <w:t>2018- 0</w:t>
      </w:r>
    </w:p>
    <w:p w14:paraId="35D9C98E" w14:textId="77777777" w:rsidR="00292B18" w:rsidRDefault="00292B18" w:rsidP="00292B18">
      <w:pPr>
        <w:pStyle w:val="ListParagraph"/>
        <w:numPr>
          <w:ilvl w:val="1"/>
          <w:numId w:val="1"/>
        </w:numPr>
        <w:tabs>
          <w:tab w:val="left" w:pos="1120"/>
        </w:tabs>
      </w:pPr>
      <w:r>
        <w:t>2019- 1</w:t>
      </w:r>
    </w:p>
    <w:p w14:paraId="7F161BEE" w14:textId="77777777" w:rsidR="00292B18" w:rsidRDefault="00292B18" w:rsidP="00292B18">
      <w:pPr>
        <w:pStyle w:val="ListParagraph"/>
        <w:numPr>
          <w:ilvl w:val="1"/>
          <w:numId w:val="1"/>
        </w:numPr>
        <w:tabs>
          <w:tab w:val="left" w:pos="1120"/>
        </w:tabs>
      </w:pPr>
      <w:r>
        <w:t>2020- 0</w:t>
      </w:r>
    </w:p>
    <w:p w14:paraId="0E3A8761" w14:textId="77777777" w:rsidR="00292B18" w:rsidRDefault="00292B18" w:rsidP="00292B18">
      <w:pPr>
        <w:pStyle w:val="ListParagraph"/>
        <w:numPr>
          <w:ilvl w:val="1"/>
          <w:numId w:val="1"/>
        </w:numPr>
        <w:tabs>
          <w:tab w:val="left" w:pos="1120"/>
        </w:tabs>
      </w:pPr>
      <w:r>
        <w:t>2021- 0</w:t>
      </w:r>
    </w:p>
    <w:p w14:paraId="766848E9" w14:textId="77777777" w:rsidR="00292B18" w:rsidRDefault="00292B18" w:rsidP="00292B18">
      <w:pPr>
        <w:pStyle w:val="ListParagraph"/>
        <w:numPr>
          <w:ilvl w:val="1"/>
          <w:numId w:val="1"/>
        </w:numPr>
        <w:tabs>
          <w:tab w:val="left" w:pos="1120"/>
        </w:tabs>
      </w:pPr>
      <w:r>
        <w:t>2022- 0</w:t>
      </w:r>
    </w:p>
    <w:p w14:paraId="19C20716" w14:textId="77777777" w:rsidR="00292B18" w:rsidRDefault="00292B18" w:rsidP="00292B18">
      <w:pPr>
        <w:pStyle w:val="ListParagraph"/>
        <w:numPr>
          <w:ilvl w:val="1"/>
          <w:numId w:val="1"/>
        </w:numPr>
        <w:tabs>
          <w:tab w:val="left" w:pos="1120"/>
        </w:tabs>
      </w:pPr>
      <w:r>
        <w:t>2023- 0</w:t>
      </w:r>
    </w:p>
    <w:p w14:paraId="439694F5" w14:textId="77777777" w:rsidR="00292B18" w:rsidRDefault="00292B18" w:rsidP="00292B18">
      <w:pPr>
        <w:pStyle w:val="ListParagraph"/>
        <w:tabs>
          <w:tab w:val="left" w:pos="1120"/>
        </w:tabs>
        <w:ind w:left="1440"/>
      </w:pPr>
    </w:p>
    <w:p w14:paraId="02DD5D2A" w14:textId="77777777" w:rsidR="00292B18" w:rsidRPr="002D7F42" w:rsidRDefault="00292B18" w:rsidP="00292B18">
      <w:pPr>
        <w:pStyle w:val="ListParagraph"/>
        <w:numPr>
          <w:ilvl w:val="0"/>
          <w:numId w:val="1"/>
        </w:numPr>
        <w:tabs>
          <w:tab w:val="left" w:pos="1120"/>
        </w:tabs>
      </w:pPr>
      <w:r>
        <w:t xml:space="preserve">There are no responsive records relating to Race or Ethnicity for Use of Force incidents in 2022. </w:t>
      </w:r>
    </w:p>
    <w:p w14:paraId="7512A4F0" w14:textId="77777777" w:rsidR="008409D9" w:rsidRDefault="008409D9" w:rsidP="0073104D">
      <w:pPr>
        <w:spacing w:after="0" w:line="240" w:lineRule="auto"/>
        <w:rPr>
          <w:rFonts w:ascii="Arial" w:hAnsi="Arial" w:cs="Arial"/>
          <w:sz w:val="24"/>
          <w:szCs w:val="24"/>
        </w:rPr>
      </w:pPr>
    </w:p>
    <w:p w14:paraId="2172F547" w14:textId="77777777" w:rsidR="00292B18" w:rsidRDefault="00292B18" w:rsidP="0073104D">
      <w:pPr>
        <w:spacing w:after="0" w:line="240" w:lineRule="auto"/>
        <w:rPr>
          <w:rFonts w:ascii="Arial" w:hAnsi="Arial" w:cs="Arial"/>
          <w:sz w:val="24"/>
          <w:szCs w:val="24"/>
        </w:rPr>
      </w:pPr>
    </w:p>
    <w:p w14:paraId="6C0361E3" w14:textId="6F89B78E" w:rsidR="00292B18" w:rsidRPr="00292B18" w:rsidRDefault="00292B18" w:rsidP="0073104D">
      <w:pPr>
        <w:spacing w:after="0" w:line="240" w:lineRule="auto"/>
        <w:rPr>
          <w:rFonts w:cstheme="minorHAnsi"/>
        </w:rPr>
      </w:pPr>
      <w:r w:rsidRPr="00292B18">
        <w:rPr>
          <w:rFonts w:cstheme="minorHAnsi"/>
        </w:rPr>
        <w:t xml:space="preserve">Thank you, </w:t>
      </w:r>
    </w:p>
    <w:p w14:paraId="54172021" w14:textId="77777777" w:rsidR="00292B18" w:rsidRPr="00292B18" w:rsidRDefault="00292B18" w:rsidP="0073104D">
      <w:pPr>
        <w:spacing w:after="0" w:line="240" w:lineRule="auto"/>
        <w:rPr>
          <w:rFonts w:cstheme="minorHAnsi"/>
        </w:rPr>
      </w:pPr>
    </w:p>
    <w:p w14:paraId="112DEBEB" w14:textId="3E580209" w:rsidR="00292B18" w:rsidRPr="00292B18" w:rsidRDefault="00292B18" w:rsidP="0073104D">
      <w:pPr>
        <w:spacing w:after="0" w:line="240" w:lineRule="auto"/>
        <w:rPr>
          <w:rFonts w:cstheme="minorHAnsi"/>
        </w:rPr>
      </w:pPr>
      <w:r w:rsidRPr="00292B18">
        <w:rPr>
          <w:rFonts w:cstheme="minorHAnsi"/>
        </w:rPr>
        <w:t>Erin Smith P666</w:t>
      </w:r>
    </w:p>
    <w:p w14:paraId="735F73DC" w14:textId="1788FE39" w:rsidR="00292B18" w:rsidRPr="00292B18" w:rsidRDefault="00292B18" w:rsidP="0073104D">
      <w:pPr>
        <w:spacing w:after="0" w:line="240" w:lineRule="auto"/>
        <w:rPr>
          <w:rFonts w:cstheme="minorHAnsi"/>
        </w:rPr>
      </w:pPr>
      <w:r w:rsidRPr="00292B18">
        <w:rPr>
          <w:rFonts w:cstheme="minorHAnsi"/>
        </w:rPr>
        <w:t xml:space="preserve">Records Supervisor </w:t>
      </w:r>
    </w:p>
    <w:p w14:paraId="3ABE3D9B" w14:textId="7E0C5AFA" w:rsidR="00292B18" w:rsidRPr="00292B18" w:rsidRDefault="00292B18" w:rsidP="0073104D">
      <w:pPr>
        <w:spacing w:after="0" w:line="240" w:lineRule="auto"/>
        <w:rPr>
          <w:rFonts w:cstheme="minorHAnsi"/>
        </w:rPr>
      </w:pPr>
      <w:r w:rsidRPr="00292B18">
        <w:rPr>
          <w:rFonts w:cstheme="minorHAnsi"/>
        </w:rPr>
        <w:t>Walnut Creek Police Department</w:t>
      </w:r>
    </w:p>
    <w:sectPr w:rsidR="00292B18" w:rsidRPr="00292B18" w:rsidSect="008409D9">
      <w:headerReference w:type="default" r:id="rId9"/>
      <w:footerReference w:type="even" r:id="rId10"/>
      <w:footerReference w:type="default" r:id="rId11"/>
      <w:headerReference w:type="first" r:id="rId12"/>
      <w:footerReference w:type="first" r:id="rId13"/>
      <w:pgSz w:w="12240" w:h="15840"/>
      <w:pgMar w:top="1350" w:right="1440" w:bottom="180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8587" w14:textId="77777777" w:rsidR="002A1FC8" w:rsidRDefault="002A1FC8" w:rsidP="00453BEB">
      <w:pPr>
        <w:spacing w:after="0" w:line="240" w:lineRule="auto"/>
      </w:pPr>
      <w:r>
        <w:separator/>
      </w:r>
    </w:p>
  </w:endnote>
  <w:endnote w:type="continuationSeparator" w:id="0">
    <w:p w14:paraId="3E91D2CE" w14:textId="77777777" w:rsidR="002A1FC8" w:rsidRDefault="002A1FC8" w:rsidP="0045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83909"/>
      <w:docPartObj>
        <w:docPartGallery w:val="Page Numbers (Bottom of Page)"/>
        <w:docPartUnique/>
      </w:docPartObj>
    </w:sdtPr>
    <w:sdtEndPr>
      <w:rPr>
        <w:rFonts w:ascii="Arial" w:hAnsi="Arial" w:cs="Arial"/>
        <w:noProof/>
      </w:rPr>
    </w:sdtEndPr>
    <w:sdtContent>
      <w:p w14:paraId="3146A488" w14:textId="77777777" w:rsidR="002A1FC8" w:rsidRPr="008567C2" w:rsidRDefault="002A1FC8">
        <w:pPr>
          <w:pStyle w:val="Footer"/>
          <w:jc w:val="right"/>
          <w:rPr>
            <w:rFonts w:ascii="Arial" w:hAnsi="Arial" w:cs="Arial"/>
          </w:rPr>
        </w:pPr>
        <w:r>
          <w:t xml:space="preserve">Final Offer Letter – Chelsea Douglas  </w:t>
        </w:r>
        <w:r w:rsidRPr="008567C2">
          <w:rPr>
            <w:rFonts w:ascii="Arial" w:hAnsi="Arial" w:cs="Arial"/>
          </w:rPr>
          <w:fldChar w:fldCharType="begin"/>
        </w:r>
        <w:r w:rsidRPr="008567C2">
          <w:rPr>
            <w:rFonts w:ascii="Arial" w:hAnsi="Arial" w:cs="Arial"/>
          </w:rPr>
          <w:instrText xml:space="preserve"> PAGE   \* MERGEFORMAT </w:instrText>
        </w:r>
        <w:r w:rsidRPr="008567C2">
          <w:rPr>
            <w:rFonts w:ascii="Arial" w:hAnsi="Arial" w:cs="Arial"/>
          </w:rPr>
          <w:fldChar w:fldCharType="separate"/>
        </w:r>
        <w:r w:rsidRPr="008567C2">
          <w:rPr>
            <w:rFonts w:ascii="Arial" w:hAnsi="Arial" w:cs="Arial"/>
            <w:noProof/>
          </w:rPr>
          <w:t>2</w:t>
        </w:r>
        <w:r w:rsidRPr="008567C2">
          <w:rPr>
            <w:rFonts w:ascii="Arial" w:hAnsi="Arial" w:cs="Arial"/>
            <w:noProof/>
          </w:rPr>
          <w:fldChar w:fldCharType="end"/>
        </w:r>
      </w:p>
    </w:sdtContent>
  </w:sdt>
  <w:p w14:paraId="7E22C9EC" w14:textId="77777777" w:rsidR="002A1FC8" w:rsidRDefault="002A1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6A2D" w14:textId="77777777" w:rsidR="002A1FC8" w:rsidRPr="008D5644" w:rsidRDefault="002A1FC8" w:rsidP="002A1FC8">
    <w:pPr>
      <w:pStyle w:val="Footer"/>
      <w:jc w:val="center"/>
      <w:rPr>
        <w:color w:val="06205C"/>
        <w:sz w:val="24"/>
        <w:szCs w:val="24"/>
      </w:rPr>
    </w:pPr>
    <w:r w:rsidRPr="008D5644">
      <w:rPr>
        <w:color w:val="06205C"/>
        <w:sz w:val="24"/>
        <w:szCs w:val="24"/>
      </w:rPr>
      <w:t xml:space="preserve">1666 North Main Street   Walnut Creek, CA 94596   </w:t>
    </w:r>
  </w:p>
  <w:p w14:paraId="598A214E" w14:textId="77777777" w:rsidR="002A1FC8" w:rsidRPr="008D5644" w:rsidRDefault="002A1FC8" w:rsidP="002A1FC8">
    <w:pPr>
      <w:pStyle w:val="Footer"/>
      <w:jc w:val="center"/>
      <w:rPr>
        <w:color w:val="06205C"/>
        <w:sz w:val="24"/>
        <w:szCs w:val="24"/>
      </w:rPr>
    </w:pPr>
    <w:r w:rsidRPr="008D5644">
      <w:rPr>
        <w:color w:val="06205C"/>
        <w:sz w:val="24"/>
        <w:szCs w:val="24"/>
        <w14:textFill>
          <w14:solidFill>
            <w14:srgbClr w14:val="06205C">
              <w14:lumMod w14:val="50000"/>
            </w14:srgbClr>
          </w14:solidFill>
        </w14:textFill>
      </w:rPr>
      <w:t>(</w:t>
    </w:r>
    <w:r w:rsidRPr="008D5644">
      <w:rPr>
        <w:color w:val="06205C"/>
        <w:sz w:val="24"/>
        <w:szCs w:val="24"/>
      </w:rPr>
      <w:t>925) 943-5844   Fax (925) 943-5811    www.walnutcreekpd.com</w:t>
    </w:r>
  </w:p>
  <w:p w14:paraId="232C88D3" w14:textId="77777777" w:rsidR="002A1FC8" w:rsidRDefault="002A1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276E" w14:textId="77777777" w:rsidR="002A1FC8" w:rsidRPr="008D5644" w:rsidRDefault="002A1FC8" w:rsidP="00382410">
    <w:pPr>
      <w:pStyle w:val="Footer"/>
      <w:jc w:val="center"/>
      <w:rPr>
        <w:color w:val="06205C"/>
        <w:sz w:val="24"/>
        <w:szCs w:val="24"/>
      </w:rPr>
    </w:pPr>
    <w:r w:rsidRPr="008D5644">
      <w:rPr>
        <w:color w:val="06205C"/>
        <w:sz w:val="24"/>
        <w:szCs w:val="24"/>
      </w:rPr>
      <w:t xml:space="preserve">1666 North Main Street   Walnut Creek, CA 94596   </w:t>
    </w:r>
  </w:p>
  <w:p w14:paraId="15804F80" w14:textId="77777777" w:rsidR="002A1FC8" w:rsidRPr="008D5644" w:rsidRDefault="002A1FC8" w:rsidP="00382410">
    <w:pPr>
      <w:pStyle w:val="Footer"/>
      <w:jc w:val="center"/>
      <w:rPr>
        <w:color w:val="06205C"/>
        <w:sz w:val="24"/>
        <w:szCs w:val="24"/>
      </w:rPr>
    </w:pPr>
    <w:r w:rsidRPr="008D5644">
      <w:rPr>
        <w:color w:val="06205C"/>
        <w:sz w:val="24"/>
        <w:szCs w:val="24"/>
        <w14:textFill>
          <w14:solidFill>
            <w14:srgbClr w14:val="06205C">
              <w14:lumMod w14:val="50000"/>
            </w14:srgbClr>
          </w14:solidFill>
        </w14:textFill>
      </w:rPr>
      <w:t>(</w:t>
    </w:r>
    <w:r w:rsidRPr="008D5644">
      <w:rPr>
        <w:color w:val="06205C"/>
        <w:sz w:val="24"/>
        <w:szCs w:val="24"/>
      </w:rPr>
      <w:t>925) 943-5844   Fax (925) 943-5811    www.walnutcreekpd.com</w:t>
    </w:r>
  </w:p>
  <w:p w14:paraId="76769F3D" w14:textId="77777777" w:rsidR="002A1FC8" w:rsidRDefault="002A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6B14" w14:textId="77777777" w:rsidR="002A1FC8" w:rsidRDefault="002A1FC8" w:rsidP="00453BEB">
      <w:pPr>
        <w:spacing w:after="0" w:line="240" w:lineRule="auto"/>
      </w:pPr>
      <w:r>
        <w:separator/>
      </w:r>
    </w:p>
  </w:footnote>
  <w:footnote w:type="continuationSeparator" w:id="0">
    <w:p w14:paraId="3C25CF67" w14:textId="77777777" w:rsidR="002A1FC8" w:rsidRDefault="002A1FC8" w:rsidP="0045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250166"/>
      <w:docPartObj>
        <w:docPartGallery w:val="Page Numbers (Top of Page)"/>
        <w:docPartUnique/>
      </w:docPartObj>
    </w:sdtPr>
    <w:sdtEndPr>
      <w:rPr>
        <w:rFonts w:ascii="Arial" w:hAnsi="Arial" w:cs="Arial"/>
        <w:noProof/>
      </w:rPr>
    </w:sdtEndPr>
    <w:sdtContent>
      <w:p w14:paraId="70199EE9" w14:textId="77777777" w:rsidR="002A1FC8" w:rsidRDefault="002A1FC8">
        <w:pPr>
          <w:pStyle w:val="Header"/>
          <w:jc w:val="right"/>
        </w:pPr>
      </w:p>
      <w:p w14:paraId="21F2460F" w14:textId="77777777" w:rsidR="002A1FC8" w:rsidRPr="00382410" w:rsidRDefault="002A1FC8">
        <w:pPr>
          <w:pStyle w:val="Header"/>
          <w:jc w:val="right"/>
          <w:rPr>
            <w:rFonts w:ascii="Arial" w:hAnsi="Arial" w:cs="Arial"/>
          </w:rPr>
        </w:pPr>
        <w:r>
          <w:t xml:space="preserve"> </w:t>
        </w:r>
        <w:r w:rsidRPr="00382410">
          <w:rPr>
            <w:rFonts w:ascii="Arial" w:hAnsi="Arial" w:cs="Arial"/>
          </w:rPr>
          <w:fldChar w:fldCharType="begin"/>
        </w:r>
        <w:r w:rsidRPr="00382410">
          <w:rPr>
            <w:rFonts w:ascii="Arial" w:hAnsi="Arial" w:cs="Arial"/>
          </w:rPr>
          <w:instrText xml:space="preserve"> PAGE   \* MERGEFORMAT </w:instrText>
        </w:r>
        <w:r w:rsidRPr="00382410">
          <w:rPr>
            <w:rFonts w:ascii="Arial" w:hAnsi="Arial" w:cs="Arial"/>
          </w:rPr>
          <w:fldChar w:fldCharType="separate"/>
        </w:r>
        <w:r w:rsidRPr="00382410">
          <w:rPr>
            <w:rFonts w:ascii="Arial" w:hAnsi="Arial" w:cs="Arial"/>
            <w:noProof/>
          </w:rPr>
          <w:t>2</w:t>
        </w:r>
        <w:r w:rsidRPr="00382410">
          <w:rPr>
            <w:rFonts w:ascii="Arial" w:hAnsi="Arial" w:cs="Arial"/>
            <w:noProof/>
          </w:rPr>
          <w:fldChar w:fldCharType="end"/>
        </w:r>
      </w:p>
    </w:sdtContent>
  </w:sdt>
  <w:p w14:paraId="66767933" w14:textId="77777777" w:rsidR="002A1FC8" w:rsidRDefault="002A1FC8" w:rsidP="000A642D">
    <w:pPr>
      <w:pStyle w:val="Header"/>
      <w:ind w:left="-90" w:hanging="1080"/>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1CE" w14:textId="77777777" w:rsidR="002A1FC8" w:rsidRDefault="002A1FC8" w:rsidP="00382410">
    <w:pPr>
      <w:pStyle w:val="Header"/>
      <w:ind w:hanging="1170"/>
    </w:pPr>
    <w:r>
      <w:rPr>
        <w:noProof/>
      </w:rPr>
      <w:drawing>
        <wp:inline distT="0" distB="0" distL="0" distR="0" wp14:anchorId="10C94023" wp14:editId="13AE3065">
          <wp:extent cx="7485912" cy="1917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WCPD Letterhead Graphic Final.png"/>
                  <pic:cNvPicPr/>
                </pic:nvPicPr>
                <pic:blipFill>
                  <a:blip r:embed="rId1">
                    <a:extLst>
                      <a:ext uri="{28A0092B-C50C-407E-A947-70E740481C1C}">
                        <a14:useLocalDpi xmlns:a14="http://schemas.microsoft.com/office/drawing/2010/main" val="0"/>
                      </a:ext>
                    </a:extLst>
                  </a:blip>
                  <a:stretch>
                    <a:fillRect/>
                  </a:stretch>
                </pic:blipFill>
                <pic:spPr>
                  <a:xfrm>
                    <a:off x="0" y="0"/>
                    <a:ext cx="7563874" cy="1937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166"/>
    <w:multiLevelType w:val="hybridMultilevel"/>
    <w:tmpl w:val="F6CEBF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59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EB"/>
    <w:rsid w:val="00085BF5"/>
    <w:rsid w:val="000A642D"/>
    <w:rsid w:val="001467E0"/>
    <w:rsid w:val="001722A9"/>
    <w:rsid w:val="001D6330"/>
    <w:rsid w:val="00265007"/>
    <w:rsid w:val="0029039D"/>
    <w:rsid w:val="00292B18"/>
    <w:rsid w:val="002A1FC8"/>
    <w:rsid w:val="002C1FF9"/>
    <w:rsid w:val="003273AC"/>
    <w:rsid w:val="00357672"/>
    <w:rsid w:val="00382410"/>
    <w:rsid w:val="0041310A"/>
    <w:rsid w:val="00453BEB"/>
    <w:rsid w:val="004765D6"/>
    <w:rsid w:val="00484C61"/>
    <w:rsid w:val="00516218"/>
    <w:rsid w:val="005342CE"/>
    <w:rsid w:val="00566AF2"/>
    <w:rsid w:val="005F6424"/>
    <w:rsid w:val="006575F7"/>
    <w:rsid w:val="006C3424"/>
    <w:rsid w:val="0070147E"/>
    <w:rsid w:val="00720BD5"/>
    <w:rsid w:val="0073104D"/>
    <w:rsid w:val="007717F7"/>
    <w:rsid w:val="008204F0"/>
    <w:rsid w:val="008409D9"/>
    <w:rsid w:val="008567C2"/>
    <w:rsid w:val="008652AE"/>
    <w:rsid w:val="00896036"/>
    <w:rsid w:val="008D1B3A"/>
    <w:rsid w:val="008D5644"/>
    <w:rsid w:val="008D7459"/>
    <w:rsid w:val="00A11EAB"/>
    <w:rsid w:val="00AC7690"/>
    <w:rsid w:val="00B6368D"/>
    <w:rsid w:val="00CD5812"/>
    <w:rsid w:val="00DA0E23"/>
    <w:rsid w:val="00DE2761"/>
    <w:rsid w:val="00E51799"/>
    <w:rsid w:val="00E61FFB"/>
    <w:rsid w:val="00EC6D86"/>
    <w:rsid w:val="00F9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D34F8"/>
  <w15:chartTrackingRefBased/>
  <w15:docId w15:val="{750BC864-5B90-4BE9-8DAD-FA145357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EB"/>
  </w:style>
  <w:style w:type="paragraph" w:styleId="Footer">
    <w:name w:val="footer"/>
    <w:basedOn w:val="Normal"/>
    <w:link w:val="FooterChar"/>
    <w:uiPriority w:val="99"/>
    <w:unhideWhenUsed/>
    <w:rsid w:val="00453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EB"/>
  </w:style>
  <w:style w:type="character" w:styleId="Hyperlink">
    <w:name w:val="Hyperlink"/>
    <w:basedOn w:val="DefaultParagraphFont"/>
    <w:uiPriority w:val="99"/>
    <w:unhideWhenUsed/>
    <w:rsid w:val="00453BEB"/>
    <w:rPr>
      <w:color w:val="0563C1" w:themeColor="hyperlink"/>
      <w:u w:val="single"/>
    </w:rPr>
  </w:style>
  <w:style w:type="character" w:customStyle="1" w:styleId="UnresolvedMention1">
    <w:name w:val="Unresolved Mention1"/>
    <w:basedOn w:val="DefaultParagraphFont"/>
    <w:uiPriority w:val="99"/>
    <w:semiHidden/>
    <w:unhideWhenUsed/>
    <w:rsid w:val="00453BEB"/>
    <w:rPr>
      <w:color w:val="605E5C"/>
      <w:shd w:val="clear" w:color="auto" w:fill="E1DFDD"/>
    </w:rPr>
  </w:style>
  <w:style w:type="paragraph" w:styleId="BalloonText">
    <w:name w:val="Balloon Text"/>
    <w:basedOn w:val="Normal"/>
    <w:link w:val="BalloonTextChar"/>
    <w:uiPriority w:val="99"/>
    <w:semiHidden/>
    <w:unhideWhenUsed/>
    <w:rsid w:val="0032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AC"/>
    <w:rPr>
      <w:rFonts w:ascii="Segoe UI" w:hAnsi="Segoe UI" w:cs="Segoe UI"/>
      <w:sz w:val="18"/>
      <w:szCs w:val="18"/>
    </w:rPr>
  </w:style>
  <w:style w:type="paragraph" w:customStyle="1" w:styleId="Default">
    <w:name w:val="Default"/>
    <w:rsid w:val="0041310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65007"/>
    <w:pPr>
      <w:spacing w:after="0" w:line="240" w:lineRule="auto"/>
    </w:pPr>
  </w:style>
  <w:style w:type="paragraph" w:styleId="ListParagraph">
    <w:name w:val="List Paragraph"/>
    <w:basedOn w:val="Normal"/>
    <w:uiPriority w:val="34"/>
    <w:qFormat/>
    <w:rsid w:val="00292B18"/>
    <w:pPr>
      <w:ind w:left="720"/>
      <w:contextualSpacing/>
    </w:pPr>
    <w:rPr>
      <w:kern w:val="2"/>
      <w14:ligatures w14:val="standardContextual"/>
    </w:rPr>
  </w:style>
  <w:style w:type="table" w:styleId="TableGrid">
    <w:name w:val="Table Grid"/>
    <w:basedOn w:val="TableNormal"/>
    <w:uiPriority w:val="59"/>
    <w:rsid w:val="0029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2019 - 2023 Intermediate Use of Force Applications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'2023 CUMULATIVE UOF DATA'!$B$33</c:f>
              <c:strCache>
                <c:ptCount val="1"/>
                <c:pt idx="0">
                  <c:v>Total</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038-43D9-BDEF-4CADD831039C}"/>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038-43D9-BDEF-4CADD831039C}"/>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038-43D9-BDEF-4CADD831039C}"/>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038-43D9-BDEF-4CADD831039C}"/>
              </c:ext>
            </c:extLst>
          </c:dPt>
          <c:dLbls>
            <c:dLbl>
              <c:idx val="0"/>
              <c:layout>
                <c:manualLayout>
                  <c:x val="-0.10205863610175109"/>
                  <c:y val="0.12322046493473349"/>
                </c:manualLayout>
              </c:layout>
              <c:tx>
                <c:rich>
                  <a:bodyPr/>
                  <a:lstStyle/>
                  <a:p>
                    <a:r>
                      <a:rPr lang="en-US"/>
                      <a:t>28%</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7038-43D9-BDEF-4CADD831039C}"/>
                </c:ext>
              </c:extLst>
            </c:dLbl>
            <c:dLbl>
              <c:idx val="2"/>
              <c:tx>
                <c:rich>
                  <a:bodyPr/>
                  <a:lstStyle/>
                  <a:p>
                    <a:r>
                      <a:rPr lang="en-US"/>
                      <a:t>30%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7038-43D9-BDEF-4CADD831039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'2023 CUMULATIVE UOF DATA'!$A$34:$A$37</c:f>
              <c:strCache>
                <c:ptCount val="4"/>
                <c:pt idx="0">
                  <c:v>CED (Conducted Energy Device)</c:v>
                </c:pt>
                <c:pt idx="1">
                  <c:v>Personal Body Weapons</c:v>
                </c:pt>
                <c:pt idx="2">
                  <c:v>Kinetic Energy Projectile (Bean Bag / 40 mm)</c:v>
                </c:pt>
                <c:pt idx="3">
                  <c:v>Other (K-9, OC, Baton, etc.)</c:v>
                </c:pt>
              </c:strCache>
            </c:strRef>
          </c:cat>
          <c:val>
            <c:numRef>
              <c:f>'2023 CUMULATIVE UOF DATA'!$B$34:$B$37</c:f>
              <c:numCache>
                <c:formatCode>General</c:formatCode>
                <c:ptCount val="4"/>
                <c:pt idx="0">
                  <c:v>26</c:v>
                </c:pt>
                <c:pt idx="1">
                  <c:v>36</c:v>
                </c:pt>
                <c:pt idx="2">
                  <c:v>28</c:v>
                </c:pt>
                <c:pt idx="3">
                  <c:v>4</c:v>
                </c:pt>
              </c:numCache>
            </c:numRef>
          </c:val>
          <c:extLst>
            <c:ext xmlns:c16="http://schemas.microsoft.com/office/drawing/2014/chart" uri="{C3380CC4-5D6E-409C-BE32-E72D297353CC}">
              <c16:uniqueId val="{00000008-7038-43D9-BDEF-4CADD831039C}"/>
            </c:ext>
          </c:extLst>
        </c:ser>
        <c:ser>
          <c:idx val="1"/>
          <c:order val="1"/>
          <c:tx>
            <c:strRef>
              <c:f>'2023 CUMULATIVE UOF DATA'!$C$33</c:f>
              <c:strCache>
                <c:ptCount val="1"/>
                <c:pt idx="0">
                  <c:v>Percentage</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7038-43D9-BDEF-4CADD831039C}"/>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7038-43D9-BDEF-4CADD831039C}"/>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7038-43D9-BDEF-4CADD831039C}"/>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7038-43D9-BDEF-4CADD831039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'2023 CUMULATIVE UOF DATA'!$A$34:$A$37</c:f>
              <c:strCache>
                <c:ptCount val="4"/>
                <c:pt idx="0">
                  <c:v>CED (Conducted Energy Device)</c:v>
                </c:pt>
                <c:pt idx="1">
                  <c:v>Personal Body Weapons</c:v>
                </c:pt>
                <c:pt idx="2">
                  <c:v>Kinetic Energy Projectile (Bean Bag / 40 mm)</c:v>
                </c:pt>
                <c:pt idx="3">
                  <c:v>Other (K-9, OC, Baton, etc.)</c:v>
                </c:pt>
              </c:strCache>
            </c:strRef>
          </c:cat>
          <c:val>
            <c:numRef>
              <c:f>'2023 CUMULATIVE UOF DATA'!$C$34:$C$37</c:f>
              <c:numCache>
                <c:formatCode>0%</c:formatCode>
                <c:ptCount val="4"/>
                <c:pt idx="0">
                  <c:v>0.27659574468085107</c:v>
                </c:pt>
                <c:pt idx="1">
                  <c:v>0.38297872340425532</c:v>
                </c:pt>
                <c:pt idx="2">
                  <c:v>0.2978723404255319</c:v>
                </c:pt>
                <c:pt idx="3">
                  <c:v>4.2553191489361701E-2</c:v>
                </c:pt>
              </c:numCache>
            </c:numRef>
          </c:val>
          <c:extLst>
            <c:ext xmlns:c16="http://schemas.microsoft.com/office/drawing/2014/chart" uri="{C3380CC4-5D6E-409C-BE32-E72D297353CC}">
              <c16:uniqueId val="{00000011-7038-43D9-BDEF-4CADD831039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1255-5C7C-4FEC-A843-0A01F04B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Knox</dc:creator>
  <cp:keywords/>
  <dc:description/>
  <cp:lastModifiedBy>Erin Smith</cp:lastModifiedBy>
  <cp:revision>3</cp:revision>
  <cp:lastPrinted>2021-10-07T00:57:00Z</cp:lastPrinted>
  <dcterms:created xsi:type="dcterms:W3CDTF">2024-03-26T18:15:00Z</dcterms:created>
  <dcterms:modified xsi:type="dcterms:W3CDTF">2024-03-26T18:16:00Z</dcterms:modified>
</cp:coreProperties>
</file>